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extent cx="1104900" cy="795904"/>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6">
                      <a:extLst>
                        <a:ext uri="{28A0092B-C50C-407E-A947-70E740481C1C}">
                          <a14:useLocalDpi xmlns:a14="http://schemas.microsoft.com/office/drawing/2010/main" val="0"/>
                        </a:ext>
                      </a:extLst>
                    </a:blip>
                    <a:stretch>
                      <a:fillRect/>
                    </a:stretch>
                  </pic:blipFill>
                  <pic:spPr>
                    <a:xfrm>
                      <a:off x="0" y="0"/>
                      <a:ext cx="1150337" cy="828634"/>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Pr="006E3318">
        <w:rPr>
          <w:rFonts w:ascii="Gadugi" w:eastAsia="Times New Roman" w:hAnsi="Gadugi" w:cs="Times New Roman"/>
          <w:b/>
          <w:bCs/>
          <w:color w:val="002060"/>
          <w:sz w:val="30"/>
          <w:szCs w:val="30"/>
          <w:lang w:eastAsia="fr-FR"/>
        </w:rPr>
        <w:t>Avis de Soutenance</w:t>
      </w:r>
    </w:p>
    <w:p w:rsidR="008419D7" w:rsidRPr="00585205" w:rsidRDefault="008419D7" w:rsidP="008419D7">
      <w:pPr>
        <w:spacing w:after="100" w:afterAutospacing="1" w:line="240" w:lineRule="auto"/>
        <w:jc w:val="center"/>
        <w:rPr>
          <w:rFonts w:ascii="Gadugi" w:eastAsia="Times New Roman" w:hAnsi="Gadugi" w:cs="Times New Roman"/>
          <w:color w:val="002060"/>
          <w:sz w:val="24"/>
          <w:szCs w:val="24"/>
          <w:lang w:eastAsia="fr-FR"/>
        </w:rPr>
      </w:pPr>
      <w:r w:rsidRPr="008419D7">
        <w:rPr>
          <w:rFonts w:ascii="Gadugi" w:eastAsia="Times New Roman" w:hAnsi="Gadugi" w:cs="Times New Roman"/>
          <w:sz w:val="16"/>
          <w:szCs w:val="16"/>
          <w:lang w:eastAsia="fr-FR"/>
        </w:rPr>
        <w:br/>
      </w:r>
      <w:r w:rsidRPr="00585205">
        <w:rPr>
          <w:rFonts w:ascii="Gadugi" w:eastAsia="Times New Roman" w:hAnsi="Gadugi" w:cs="Times New Roman"/>
          <w:color w:val="002060"/>
          <w:sz w:val="30"/>
          <w:szCs w:val="30"/>
          <w:lang w:eastAsia="fr-FR"/>
        </w:rPr>
        <w:t>Monsieur Anton KOVALENKO</w:t>
      </w:r>
      <w:r w:rsidRPr="00585205">
        <w:rPr>
          <w:rFonts w:ascii="Gadugi" w:eastAsia="Times New Roman" w:hAnsi="Gadugi" w:cs="Times New Roman"/>
          <w:color w:val="002060"/>
          <w:sz w:val="24"/>
          <w:szCs w:val="24"/>
          <w:lang w:eastAsia="fr-FR"/>
        </w:rPr>
        <w:br/>
      </w:r>
      <w:r w:rsidRPr="00585205">
        <w:rPr>
          <w:rFonts w:ascii="Gadugi" w:eastAsia="Times New Roman" w:hAnsi="Gadugi" w:cs="Times New Roman"/>
          <w:color w:val="002060"/>
          <w:sz w:val="16"/>
          <w:szCs w:val="16"/>
          <w:lang w:eastAsia="fr-FR"/>
        </w:rPr>
        <w:br/>
      </w:r>
      <w:r w:rsidRPr="00585205">
        <w:rPr>
          <w:rFonts w:ascii="Gadugi" w:eastAsia="Times New Roman" w:hAnsi="Gadugi" w:cs="Times New Roman"/>
          <w:color w:val="002060"/>
          <w:sz w:val="28"/>
          <w:szCs w:val="28"/>
          <w:lang w:eastAsia="fr-FR"/>
        </w:rPr>
        <w:t>Chimie</w:t>
      </w:r>
      <w:r w:rsidRPr="00585205">
        <w:rPr>
          <w:rFonts w:ascii="Gadugi" w:eastAsia="Times New Roman" w:hAnsi="Gadugi" w:cs="Times New Roman"/>
          <w:color w:val="002060"/>
          <w:sz w:val="24"/>
          <w:szCs w:val="24"/>
          <w:lang w:eastAsia="fr-FR"/>
        </w:rPr>
        <w:t xml:space="preserve"> </w:t>
      </w:r>
      <w:r w:rsidRPr="00585205">
        <w:rPr>
          <w:rFonts w:ascii="Gadugi" w:eastAsia="Times New Roman" w:hAnsi="Gadugi" w:cs="Times New Roman"/>
          <w:color w:val="002060"/>
          <w:sz w:val="24"/>
          <w:szCs w:val="24"/>
          <w:lang w:eastAsia="fr-FR"/>
        </w:rPr>
        <w:br/>
      </w:r>
      <w:r w:rsidRPr="00585205">
        <w:rPr>
          <w:rFonts w:ascii="Gadugi" w:eastAsia="Times New Roman" w:hAnsi="Gadugi" w:cs="Times New Roman"/>
          <w:color w:val="002060"/>
          <w:sz w:val="16"/>
          <w:szCs w:val="16"/>
          <w:lang w:eastAsia="fr-FR"/>
        </w:rPr>
        <w:br/>
      </w:r>
      <w:r w:rsidRPr="00585205">
        <w:rPr>
          <w:rFonts w:ascii="Gadugi" w:eastAsia="Times New Roman" w:hAnsi="Gadugi" w:cs="Times New Roman"/>
          <w:color w:val="002060"/>
          <w:sz w:val="24"/>
          <w:szCs w:val="24"/>
          <w:lang w:eastAsia="fr-FR"/>
        </w:rPr>
        <w:t>Soutiendra publiquement ses travaux de thèse intitulés</w:t>
      </w:r>
      <w:r w:rsidRPr="00585205">
        <w:rPr>
          <w:rFonts w:ascii="Gadugi" w:eastAsia="Times New Roman" w:hAnsi="Gadugi" w:cs="Times New Roman"/>
          <w:color w:val="002060"/>
          <w:sz w:val="24"/>
          <w:szCs w:val="24"/>
          <w:lang w:eastAsia="fr-FR"/>
        </w:rPr>
        <w:br/>
      </w:r>
      <w:r w:rsidRPr="00585205">
        <w:rPr>
          <w:rFonts w:ascii="Gadugi" w:eastAsia="Times New Roman" w:hAnsi="Gadugi" w:cs="Times New Roman"/>
          <w:color w:val="002060"/>
          <w:sz w:val="16"/>
          <w:szCs w:val="16"/>
          <w:lang w:eastAsia="fr-FR"/>
        </w:rPr>
        <w:br/>
      </w:r>
      <w:r w:rsidRPr="00585205">
        <w:rPr>
          <w:rFonts w:ascii="Gadugi" w:eastAsia="Times New Roman" w:hAnsi="Gadugi" w:cs="Times New Roman"/>
          <w:i/>
          <w:iCs/>
          <w:color w:val="002060"/>
          <w:sz w:val="24"/>
          <w:szCs w:val="24"/>
          <w:lang w:eastAsia="fr-FR"/>
        </w:rPr>
        <w:t>Conception, synthèse et caractérisation de composés de lanthanide fonctionnant comme agents bimodaux d’imagerie photoacoustique et d’émission proche infrarouge</w:t>
      </w:r>
      <w:r w:rsidRPr="00585205">
        <w:rPr>
          <w:rFonts w:ascii="Gadugi" w:eastAsia="Times New Roman" w:hAnsi="Gadugi" w:cs="Times New Roman"/>
          <w:color w:val="002060"/>
          <w:sz w:val="24"/>
          <w:szCs w:val="24"/>
          <w:lang w:eastAsia="fr-FR"/>
        </w:rPr>
        <w:t xml:space="preserve"> </w:t>
      </w:r>
      <w:r w:rsidRPr="00585205">
        <w:rPr>
          <w:rFonts w:ascii="Gadugi" w:eastAsia="Times New Roman" w:hAnsi="Gadugi" w:cs="Times New Roman"/>
          <w:color w:val="002060"/>
          <w:sz w:val="24"/>
          <w:szCs w:val="24"/>
          <w:lang w:eastAsia="fr-FR"/>
        </w:rPr>
        <w:br/>
      </w:r>
      <w:r w:rsidRPr="00585205">
        <w:rPr>
          <w:rFonts w:ascii="Gadugi" w:eastAsia="Times New Roman" w:hAnsi="Gadugi" w:cs="Times New Roman"/>
          <w:color w:val="002060"/>
          <w:sz w:val="16"/>
          <w:szCs w:val="16"/>
          <w:lang w:eastAsia="fr-FR"/>
        </w:rPr>
        <w:br/>
      </w:r>
      <w:r w:rsidRPr="00585205">
        <w:rPr>
          <w:rFonts w:ascii="Gadugi" w:eastAsia="Times New Roman" w:hAnsi="Gadugi" w:cs="Times New Roman"/>
          <w:color w:val="002060"/>
          <w:sz w:val="24"/>
          <w:szCs w:val="24"/>
          <w:lang w:eastAsia="fr-FR"/>
        </w:rPr>
        <w:t xml:space="preserve">dirigés par Monsieur Stéphane PETOUD et Madame Svetlana ELISEEVA </w:t>
      </w:r>
    </w:p>
    <w:p w:rsidR="00161D29" w:rsidRDefault="008419D7" w:rsidP="00161D29">
      <w:pPr>
        <w:spacing w:before="100" w:beforeAutospacing="1" w:after="100" w:afterAutospacing="1" w:line="240" w:lineRule="auto"/>
        <w:jc w:val="center"/>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 xml:space="preserve">Ecole doctorale : Santé, Sciences Biologiques et Chimie du Vivant - SSBCV </w:t>
      </w:r>
      <w:r w:rsidRPr="008419D7">
        <w:rPr>
          <w:rFonts w:ascii="Gadugi" w:eastAsia="Times New Roman" w:hAnsi="Gadugi" w:cs="Times New Roman"/>
          <w:color w:val="002060"/>
          <w:sz w:val="24"/>
          <w:szCs w:val="24"/>
          <w:lang w:eastAsia="fr-FR"/>
        </w:rPr>
        <w:br/>
        <w:t>Unité de recherche : CBM - Centre de Biophysique Moléculaire</w:t>
      </w:r>
    </w:p>
    <w:p w:rsidR="008419D7" w:rsidRPr="008419D7" w:rsidRDefault="008419D7" w:rsidP="00161D29">
      <w:pPr>
        <w:spacing w:before="100" w:beforeAutospacing="1" w:after="100" w:afterAutospacing="1" w:line="240" w:lineRule="auto"/>
        <w:jc w:val="center"/>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16"/>
          <w:szCs w:val="16"/>
          <w:lang w:eastAsia="fr-FR"/>
        </w:rPr>
        <w:br/>
      </w:r>
      <w:r w:rsidRPr="008419D7">
        <w:rPr>
          <w:rFonts w:ascii="Gadugi" w:eastAsia="Times New Roman" w:hAnsi="Gadugi" w:cs="Times New Roman"/>
          <w:color w:val="002060"/>
          <w:sz w:val="24"/>
          <w:szCs w:val="24"/>
          <w:lang w:eastAsia="fr-FR"/>
        </w:rPr>
        <w:t xml:space="preserve">Soutenance prévue le </w:t>
      </w:r>
      <w:r w:rsidRPr="008419D7">
        <w:rPr>
          <w:rFonts w:ascii="Gadugi" w:eastAsia="Times New Roman" w:hAnsi="Gadugi" w:cs="Times New Roman"/>
          <w:b/>
          <w:bCs/>
          <w:i/>
          <w:iCs/>
          <w:color w:val="002060"/>
          <w:sz w:val="24"/>
          <w:szCs w:val="24"/>
          <w:lang w:eastAsia="fr-FR"/>
        </w:rPr>
        <w:t xml:space="preserve">lundi 19 septembre 2022 </w:t>
      </w:r>
      <w:r w:rsidRPr="008419D7">
        <w:rPr>
          <w:rFonts w:ascii="Gadugi" w:eastAsia="Times New Roman" w:hAnsi="Gadugi" w:cs="Times New Roman"/>
          <w:color w:val="002060"/>
          <w:sz w:val="24"/>
          <w:szCs w:val="24"/>
          <w:lang w:eastAsia="fr-FR"/>
        </w:rPr>
        <w:t>à 9h00</w:t>
      </w:r>
      <w:r w:rsidRPr="008419D7">
        <w:rPr>
          <w:rFonts w:ascii="Gadugi" w:eastAsia="Times New Roman" w:hAnsi="Gadugi" w:cs="Times New Roman"/>
          <w:color w:val="002060"/>
          <w:sz w:val="24"/>
          <w:szCs w:val="24"/>
          <w:lang w:eastAsia="fr-FR"/>
        </w:rPr>
        <w:br/>
        <w:t xml:space="preserve">Lieu :   Amphithéâtre Charles Sadron 3E Avenue de la Recherche Scientifique - Campus CNRS 45071 Orléans CEDEX 2 France </w:t>
      </w:r>
      <w:r w:rsidRPr="008419D7">
        <w:rPr>
          <w:rFonts w:ascii="Gadugi" w:eastAsia="Times New Roman" w:hAnsi="Gadugi" w:cs="Times New Roman"/>
          <w:color w:val="002060"/>
          <w:sz w:val="24"/>
          <w:szCs w:val="24"/>
          <w:lang w:eastAsia="fr-FR"/>
        </w:rPr>
        <w:br/>
        <w:t xml:space="preserve">Salle : Amphithéâtre Charles Sadron </w:t>
      </w:r>
      <w:r w:rsidRPr="008419D7">
        <w:rPr>
          <w:rFonts w:ascii="Gadugi" w:eastAsia="Times New Roman" w:hAnsi="Gadugi" w:cs="Times New Roman"/>
          <w:color w:val="002060"/>
          <w:sz w:val="24"/>
          <w:szCs w:val="24"/>
          <w:lang w:eastAsia="fr-FR"/>
        </w:rPr>
        <w:br/>
      </w:r>
      <w:r w:rsidRPr="008419D7">
        <w:rPr>
          <w:rFonts w:ascii="Gadugi" w:eastAsia="Times New Roman" w:hAnsi="Gadugi" w:cs="Times New Roman"/>
          <w:color w:val="002060"/>
          <w:sz w:val="16"/>
          <w:szCs w:val="16"/>
          <w:lang w:eastAsia="fr-FR"/>
        </w:rPr>
        <w:br/>
      </w:r>
      <w:r w:rsidRPr="008419D7">
        <w:rPr>
          <w:rFonts w:ascii="Gadugi" w:eastAsia="Times New Roman" w:hAnsi="Gadugi" w:cs="Times New Roman"/>
          <w:b/>
          <w:bCs/>
          <w:color w:val="002060"/>
          <w:sz w:val="24"/>
          <w:szCs w:val="24"/>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3889"/>
        <w:gridCol w:w="3400"/>
        <w:gridCol w:w="3177"/>
      </w:tblGrid>
      <w:tr w:rsidR="00585205" w:rsidRPr="00585205" w:rsidTr="008419D7">
        <w:trPr>
          <w:tblCellSpacing w:w="15" w:type="dxa"/>
        </w:trPr>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M. Stéphane </w:t>
            </w:r>
            <w:r w:rsidRPr="008419D7">
              <w:rPr>
                <w:rFonts w:ascii="Gadugi" w:eastAsia="Times New Roman" w:hAnsi="Gadugi" w:cs="Times New Roman"/>
                <w:caps/>
                <w:color w:val="002060"/>
                <w:sz w:val="24"/>
                <w:szCs w:val="24"/>
                <w:lang w:eastAsia="fr-FR"/>
              </w:rPr>
              <w:t>PETOUD</w:t>
            </w:r>
            <w:r w:rsidRPr="008419D7">
              <w:rPr>
                <w:rFonts w:ascii="Gadugi" w:eastAsia="Times New Roman" w:hAnsi="Gadugi" w:cs="Times New Roman"/>
                <w:color w:val="002060"/>
                <w:sz w:val="24"/>
                <w:szCs w:val="24"/>
                <w:lang w:eastAsia="fr-FR"/>
              </w:rPr>
              <w:t> </w:t>
            </w:r>
          </w:p>
        </w:tc>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CNRS Orléans </w:t>
            </w:r>
          </w:p>
        </w:tc>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 xml:space="preserve">Directeur de thèse </w:t>
            </w:r>
          </w:p>
        </w:tc>
      </w:tr>
      <w:tr w:rsidR="00585205" w:rsidRPr="00585205" w:rsidTr="008419D7">
        <w:trPr>
          <w:tblCellSpacing w:w="15" w:type="dxa"/>
        </w:trPr>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Mme Svetlana V. </w:t>
            </w:r>
            <w:r w:rsidRPr="008419D7">
              <w:rPr>
                <w:rFonts w:ascii="Gadugi" w:eastAsia="Times New Roman" w:hAnsi="Gadugi" w:cs="Times New Roman"/>
                <w:caps/>
                <w:color w:val="002060"/>
                <w:sz w:val="24"/>
                <w:szCs w:val="24"/>
                <w:lang w:eastAsia="fr-FR"/>
              </w:rPr>
              <w:t>ELISEEVA</w:t>
            </w:r>
            <w:r w:rsidRPr="008419D7">
              <w:rPr>
                <w:rFonts w:ascii="Gadugi" w:eastAsia="Times New Roman" w:hAnsi="Gadugi" w:cs="Times New Roman"/>
                <w:color w:val="002060"/>
                <w:sz w:val="24"/>
                <w:szCs w:val="24"/>
                <w:lang w:eastAsia="fr-FR"/>
              </w:rPr>
              <w:t> </w:t>
            </w:r>
          </w:p>
        </w:tc>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CNRS Orléans </w:t>
            </w:r>
          </w:p>
        </w:tc>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 xml:space="preserve">Co-directrice de thèse </w:t>
            </w:r>
          </w:p>
        </w:tc>
      </w:tr>
      <w:tr w:rsidR="00585205" w:rsidRPr="00585205" w:rsidTr="008419D7">
        <w:trPr>
          <w:tblCellSpacing w:w="15" w:type="dxa"/>
        </w:trPr>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M. Talal  </w:t>
            </w:r>
            <w:r w:rsidRPr="008419D7">
              <w:rPr>
                <w:rFonts w:ascii="Gadugi" w:eastAsia="Times New Roman" w:hAnsi="Gadugi" w:cs="Times New Roman"/>
                <w:caps/>
                <w:color w:val="002060"/>
                <w:sz w:val="24"/>
                <w:szCs w:val="24"/>
                <w:lang w:eastAsia="fr-FR"/>
              </w:rPr>
              <w:t>MALLAH</w:t>
            </w:r>
            <w:r w:rsidRPr="008419D7">
              <w:rPr>
                <w:rFonts w:ascii="Gadugi" w:eastAsia="Times New Roman" w:hAnsi="Gadugi" w:cs="Times New Roman"/>
                <w:color w:val="002060"/>
                <w:sz w:val="24"/>
                <w:szCs w:val="24"/>
                <w:lang w:eastAsia="fr-FR"/>
              </w:rPr>
              <w:t> </w:t>
            </w:r>
          </w:p>
        </w:tc>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Université Paris-Saclay </w:t>
            </w:r>
          </w:p>
        </w:tc>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 xml:space="preserve">Rapporteur </w:t>
            </w:r>
          </w:p>
        </w:tc>
      </w:tr>
      <w:tr w:rsidR="00585205" w:rsidRPr="00585205" w:rsidTr="008419D7">
        <w:trPr>
          <w:tblCellSpacing w:w="15" w:type="dxa"/>
        </w:trPr>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M. André F. </w:t>
            </w:r>
            <w:r w:rsidRPr="008419D7">
              <w:rPr>
                <w:rFonts w:ascii="Gadugi" w:eastAsia="Times New Roman" w:hAnsi="Gadugi" w:cs="Times New Roman"/>
                <w:caps/>
                <w:color w:val="002060"/>
                <w:sz w:val="24"/>
                <w:szCs w:val="24"/>
                <w:lang w:eastAsia="fr-FR"/>
              </w:rPr>
              <w:t>MARTINS</w:t>
            </w:r>
            <w:r w:rsidRPr="008419D7">
              <w:rPr>
                <w:rFonts w:ascii="Gadugi" w:eastAsia="Times New Roman" w:hAnsi="Gadugi" w:cs="Times New Roman"/>
                <w:color w:val="002060"/>
                <w:sz w:val="24"/>
                <w:szCs w:val="24"/>
                <w:lang w:eastAsia="fr-FR"/>
              </w:rPr>
              <w:t> </w:t>
            </w:r>
          </w:p>
        </w:tc>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Université de Tübingen </w:t>
            </w:r>
          </w:p>
        </w:tc>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 xml:space="preserve">Rapporteur </w:t>
            </w:r>
          </w:p>
        </w:tc>
      </w:tr>
      <w:tr w:rsidR="00585205" w:rsidRPr="00585205" w:rsidTr="008419D7">
        <w:trPr>
          <w:tblCellSpacing w:w="15" w:type="dxa"/>
        </w:trPr>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M. Franck </w:t>
            </w:r>
            <w:r w:rsidRPr="008419D7">
              <w:rPr>
                <w:rFonts w:ascii="Gadugi" w:eastAsia="Times New Roman" w:hAnsi="Gadugi" w:cs="Times New Roman"/>
                <w:caps/>
                <w:color w:val="002060"/>
                <w:sz w:val="24"/>
                <w:szCs w:val="24"/>
                <w:lang w:eastAsia="fr-FR"/>
              </w:rPr>
              <w:t>SUZENET</w:t>
            </w:r>
            <w:r w:rsidRPr="008419D7">
              <w:rPr>
                <w:rFonts w:ascii="Gadugi" w:eastAsia="Times New Roman" w:hAnsi="Gadugi" w:cs="Times New Roman"/>
                <w:color w:val="002060"/>
                <w:sz w:val="24"/>
                <w:szCs w:val="24"/>
                <w:lang w:eastAsia="fr-FR"/>
              </w:rPr>
              <w:t> </w:t>
            </w:r>
          </w:p>
        </w:tc>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Université d'Orléans </w:t>
            </w:r>
          </w:p>
        </w:tc>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 xml:space="preserve">Examinateur </w:t>
            </w:r>
          </w:p>
        </w:tc>
      </w:tr>
      <w:tr w:rsidR="00585205" w:rsidRPr="00585205" w:rsidTr="008419D7">
        <w:trPr>
          <w:tblCellSpacing w:w="15" w:type="dxa"/>
        </w:trPr>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M. Philippe </w:t>
            </w:r>
            <w:r w:rsidRPr="008419D7">
              <w:rPr>
                <w:rFonts w:ascii="Gadugi" w:eastAsia="Times New Roman" w:hAnsi="Gadugi" w:cs="Times New Roman"/>
                <w:caps/>
                <w:color w:val="002060"/>
                <w:sz w:val="24"/>
                <w:szCs w:val="24"/>
                <w:lang w:eastAsia="fr-FR"/>
              </w:rPr>
              <w:t xml:space="preserve">DURAND </w:t>
            </w:r>
            <w:r w:rsidRPr="008419D7">
              <w:rPr>
                <w:rFonts w:ascii="Gadugi" w:eastAsia="Times New Roman" w:hAnsi="Gadugi" w:cs="Times New Roman"/>
                <w:color w:val="002060"/>
                <w:sz w:val="24"/>
                <w:szCs w:val="24"/>
                <w:lang w:eastAsia="fr-FR"/>
              </w:rPr>
              <w:t> </w:t>
            </w:r>
          </w:p>
        </w:tc>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CNRS Gif-sur-Yvette </w:t>
            </w:r>
          </w:p>
        </w:tc>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 xml:space="preserve">Examinateur </w:t>
            </w:r>
          </w:p>
        </w:tc>
      </w:tr>
    </w:tbl>
    <w:p w:rsidR="008419D7" w:rsidRPr="008419D7" w:rsidRDefault="008419D7" w:rsidP="008419D7">
      <w:pPr>
        <w:spacing w:after="240" w:line="240" w:lineRule="auto"/>
        <w:rPr>
          <w:rFonts w:ascii="Gadugi" w:eastAsia="Times New Roman" w:hAnsi="Gadugi" w:cs="Times New Roman"/>
          <w:color w:val="002060"/>
          <w:sz w:val="16"/>
          <w:szCs w:val="16"/>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0"/>
        <w:gridCol w:w="9396"/>
      </w:tblGrid>
      <w:tr w:rsidR="00585205" w:rsidRPr="00585205" w:rsidTr="008419D7">
        <w:trPr>
          <w:tblCellSpacing w:w="15" w:type="dxa"/>
        </w:trPr>
        <w:tc>
          <w:tcPr>
            <w:tcW w:w="0" w:type="auto"/>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b/>
                <w:bCs/>
                <w:color w:val="002060"/>
                <w:sz w:val="24"/>
                <w:szCs w:val="24"/>
                <w:lang w:eastAsia="fr-FR"/>
              </w:rPr>
              <w:t>Mots-clés :</w:t>
            </w:r>
            <w:r w:rsidRPr="008419D7">
              <w:rPr>
                <w:rFonts w:ascii="Gadugi" w:eastAsia="Times New Roman" w:hAnsi="Gadugi" w:cs="Times New Roman"/>
                <w:color w:val="002060"/>
                <w:sz w:val="24"/>
                <w:szCs w:val="24"/>
                <w:lang w:eastAsia="fr-FR"/>
              </w:rPr>
              <w:t xml:space="preserve"> </w:t>
            </w:r>
          </w:p>
        </w:tc>
        <w:tc>
          <w:tcPr>
            <w:tcW w:w="0" w:type="auto"/>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color w:val="002060"/>
                <w:sz w:val="24"/>
                <w:szCs w:val="24"/>
                <w:lang w:eastAsia="fr-FR"/>
              </w:rPr>
              <w:t>lanthanide,luminescence proche infrarouge,imagerie optique,photoacoustique,nanoparticules,chimie de coordination</w:t>
            </w:r>
          </w:p>
        </w:tc>
      </w:tr>
    </w:tbl>
    <w:p w:rsidR="008419D7" w:rsidRPr="008419D7" w:rsidRDefault="008419D7" w:rsidP="008419D7">
      <w:pPr>
        <w:spacing w:after="0" w:line="240" w:lineRule="auto"/>
        <w:rPr>
          <w:rFonts w:ascii="Gadugi" w:eastAsia="Times New Roman" w:hAnsi="Gadugi" w:cs="Times New Roman"/>
          <w:color w:val="002060"/>
          <w:sz w:val="16"/>
          <w:szCs w:val="16"/>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257"/>
      </w:tblGrid>
      <w:tr w:rsidR="00585205" w:rsidRPr="00585205" w:rsidTr="008419D7">
        <w:trPr>
          <w:tblCellSpacing w:w="15" w:type="dxa"/>
        </w:trPr>
        <w:tc>
          <w:tcPr>
            <w:tcW w:w="0" w:type="auto"/>
            <w:vAlign w:val="center"/>
            <w:hideMark/>
          </w:tcPr>
          <w:p w:rsidR="008419D7" w:rsidRPr="008419D7" w:rsidRDefault="008419D7" w:rsidP="008419D7">
            <w:pPr>
              <w:spacing w:after="0" w:line="240" w:lineRule="auto"/>
              <w:rPr>
                <w:rFonts w:ascii="Gadugi" w:eastAsia="Times New Roman" w:hAnsi="Gadugi" w:cs="Times New Roman"/>
                <w:color w:val="002060"/>
                <w:sz w:val="24"/>
                <w:szCs w:val="24"/>
                <w:lang w:eastAsia="fr-FR"/>
              </w:rPr>
            </w:pPr>
            <w:r w:rsidRPr="008419D7">
              <w:rPr>
                <w:rFonts w:ascii="Gadugi" w:eastAsia="Times New Roman" w:hAnsi="Gadugi" w:cs="Times New Roman"/>
                <w:b/>
                <w:bCs/>
                <w:color w:val="002060"/>
                <w:sz w:val="24"/>
                <w:szCs w:val="24"/>
                <w:lang w:eastAsia="fr-FR"/>
              </w:rPr>
              <w:t>Résumé :</w:t>
            </w:r>
            <w:r w:rsidRPr="008419D7">
              <w:rPr>
                <w:rFonts w:ascii="Gadugi" w:eastAsia="Times New Roman" w:hAnsi="Gadugi" w:cs="Times New Roman"/>
                <w:color w:val="002060"/>
                <w:sz w:val="24"/>
                <w:szCs w:val="24"/>
                <w:lang w:eastAsia="fr-FR"/>
              </w:rPr>
              <w:t xml:space="preserve">  </w:t>
            </w:r>
          </w:p>
        </w:tc>
      </w:tr>
      <w:tr w:rsidR="00585205" w:rsidRPr="00161D29" w:rsidTr="008419D7">
        <w:trPr>
          <w:tblCellSpacing w:w="15" w:type="dxa"/>
        </w:trPr>
        <w:tc>
          <w:tcPr>
            <w:tcW w:w="0" w:type="auto"/>
            <w:vAlign w:val="center"/>
            <w:hideMark/>
          </w:tcPr>
          <w:p w:rsidR="008419D7" w:rsidRPr="00161D29" w:rsidRDefault="008419D7" w:rsidP="008419D7">
            <w:pPr>
              <w:spacing w:after="0" w:line="240" w:lineRule="auto"/>
              <w:jc w:val="both"/>
              <w:rPr>
                <w:rFonts w:eastAsia="Times New Roman" w:cstheme="minorHAnsi"/>
                <w:color w:val="002060"/>
                <w:lang w:eastAsia="fr-FR"/>
              </w:rPr>
            </w:pPr>
            <w:r w:rsidRPr="00161D29">
              <w:rPr>
                <w:rFonts w:eastAsia="Times New Roman" w:cstheme="minorHAnsi"/>
                <w:color w:val="002060"/>
                <w:lang w:eastAsia="fr-FR"/>
              </w:rPr>
              <w:t xml:space="preserve">Différents types de nouvelles techniques d'imagerie biologique ont attiré une attention croissante au cours des dernières années, y compris la luminescence proche infrarouge et l'imagerie photoacoustique. Ces deux techniques fonctionnent avec de la lumière rouge – proche infrarouge dans la plage de la fenêtre de transparence biologique, ce qui permet de diminuer l'atténuation du signal dans les applications in vivo. Chaque technique possède des avantages spécifiques : l'imagerie par luminescence proche infrarouge présente une résolution et une sensibilité élevées, tandis que l'imagerie photoacoustique permet d'atteindre une profondeur de détection de signal plus élevée. La combinaison de ces deux modalités d'imagerie doit permettre de surmonter la limitation de chaque technique et d'obtenir des informations complémentaires. Cependant, le nombre d'agents d'imagerie bimodal combiant photoacoustique et luminescence proche infrarouge est encore faible alors que leur développement est en forte demande. Les ions lanthanide(III) ont des propriétés optiques uniques : ils présentent des bandes d'émission sous forme de lignes étroites </w:t>
            </w:r>
            <w:bookmarkStart w:id="0" w:name="_GoBack"/>
            <w:bookmarkEnd w:id="0"/>
            <w:r w:rsidRPr="00161D29">
              <w:rPr>
                <w:rFonts w:eastAsia="Times New Roman" w:cstheme="minorHAnsi"/>
                <w:color w:val="002060"/>
                <w:lang w:eastAsia="fr-FR"/>
              </w:rPr>
              <w:t xml:space="preserve">dont les longueurs d’onde sont fixes dans le visible et dans le proche infrarouge, une grande différence d'énergie entre les longueurs d'onde d'excitation et d'émission et de longues durées de vie de luminescence. Il existe une restriction importante : les intensités d'émission des ions lanthanide(III) sont limitées par leurs faibles coefficients d'absorption en raison de la nature interdite de la plupart </w:t>
            </w:r>
            <w:r w:rsidRPr="00161D29">
              <w:rPr>
                <w:rFonts w:eastAsia="Times New Roman" w:cstheme="minorHAnsi"/>
                <w:color w:val="002060"/>
                <w:lang w:eastAsia="fr-FR"/>
              </w:rPr>
              <w:lastRenderedPageBreak/>
              <w:t xml:space="preserve">des transitions f-f. Pour surmonter cette limitation, des chromophores organiques fortement absorbants peuvent être utilisés comme sensibilisateurs en captant l'énergie de la lumière d'excitation et en la transférant aux niveaux d'acceptation du ion lanthanide(III). Dans ce travail, nous proposons d'utiliser la combinaison d'un ion lanthanide(III) émettant dans la région proche infrarouge et de chromophores organiques comme agents bimodaux pour l'imagerie photoacoustique et la luminescence proche infrarouge. Pour valider cette hypothèse, trois systèmes différents ont été choisis : i) des tétrakis β-dicétonates des lanthanide(III) formés avec des chromophores de cyanine, ii) des métallacrowns des lanthanide(III) modifiées avec des chromophores absorbant dans la région du proche infrarouge, iii) des nanoparticules de fluorure de lanthanide(III) modifiées en surface. Pour chaque système, la synthèse, la caractérisation et l'étude de la structure du composé correspondant de lanthanide(III) ont été réalisées. Les propriétés de luminescence proche infrarouge et photoacoustique des agents obtenus ont été intensivement étudiées, suggérant la possibilité de leurs applications in vivo. </w:t>
            </w:r>
          </w:p>
        </w:tc>
      </w:tr>
    </w:tbl>
    <w:p w:rsidR="006818D9" w:rsidRPr="00161D29" w:rsidRDefault="006818D9" w:rsidP="008419D7">
      <w:pPr>
        <w:spacing w:after="0" w:line="240" w:lineRule="auto"/>
        <w:jc w:val="center"/>
        <w:rPr>
          <w:rFonts w:cstheme="minorHAnsi"/>
          <w:color w:val="002060"/>
        </w:rPr>
      </w:pPr>
    </w:p>
    <w:sectPr w:rsidR="006818D9" w:rsidRPr="00161D29" w:rsidSect="00161D29">
      <w:pgSz w:w="11906" w:h="16838"/>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F19" w:rsidRDefault="00A51F19" w:rsidP="006E3318">
      <w:pPr>
        <w:spacing w:after="0" w:line="240" w:lineRule="auto"/>
      </w:pPr>
      <w:r>
        <w:separator/>
      </w:r>
    </w:p>
  </w:endnote>
  <w:endnote w:type="continuationSeparator" w:id="0">
    <w:p w:rsidR="00A51F19" w:rsidRDefault="00A51F19"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F19" w:rsidRDefault="00A51F19" w:rsidP="006E3318">
      <w:pPr>
        <w:spacing w:after="0" w:line="240" w:lineRule="auto"/>
      </w:pPr>
      <w:r>
        <w:separator/>
      </w:r>
    </w:p>
  </w:footnote>
  <w:footnote w:type="continuationSeparator" w:id="0">
    <w:p w:rsidR="00A51F19" w:rsidRDefault="00A51F19"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161D29"/>
    <w:rsid w:val="00585205"/>
    <w:rsid w:val="006818D9"/>
    <w:rsid w:val="006E3318"/>
    <w:rsid w:val="008419D7"/>
    <w:rsid w:val="00A51F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3D2AE"/>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88463">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3364</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dcterms:created xsi:type="dcterms:W3CDTF">2022-09-12T11:26:00Z</dcterms:created>
  <dcterms:modified xsi:type="dcterms:W3CDTF">2022-09-12T11:26:00Z</dcterms:modified>
</cp:coreProperties>
</file>