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Pr="006E3318">
        <w:rPr>
          <w:rFonts w:ascii="Gadugi" w:eastAsia="Times New Roman" w:hAnsi="Gadugi" w:cs="Times New Roman"/>
          <w:b/>
          <w:bCs/>
          <w:color w:val="002060"/>
          <w:sz w:val="30"/>
          <w:szCs w:val="30"/>
          <w:lang w:eastAsia="fr-FR"/>
        </w:rPr>
        <w:t>Avis de Soutenance</w:t>
      </w:r>
    </w:p>
    <w:p w:rsidR="00280B53" w:rsidRPr="00354D07" w:rsidRDefault="006E3318" w:rsidP="00280B53">
      <w:pPr>
        <w:jc w:val="center"/>
        <w:rPr>
          <w:rFonts w:ascii="Gadugi" w:eastAsia="Times New Roman" w:hAnsi="Gadugi" w:cs="Times New Roman"/>
          <w:color w:val="002060"/>
          <w:sz w:val="20"/>
          <w:szCs w:val="20"/>
          <w:lang w:eastAsia="fr-FR"/>
        </w:rPr>
      </w:pPr>
      <w:r w:rsidRPr="00A33447">
        <w:rPr>
          <w:rFonts w:ascii="Gadugi" w:eastAsia="Times New Roman" w:hAnsi="Gadugi" w:cs="Times New Roman"/>
          <w:color w:val="002060"/>
          <w:sz w:val="16"/>
          <w:szCs w:val="16"/>
          <w:lang w:eastAsia="fr-FR"/>
        </w:rPr>
        <w:br/>
      </w:r>
      <w:r w:rsidR="00280B53" w:rsidRPr="00354D07">
        <w:rPr>
          <w:rFonts w:ascii="Gadugi" w:eastAsia="Times New Roman" w:hAnsi="Gadugi" w:cs="Times New Roman"/>
          <w:color w:val="002060"/>
          <w:lang w:eastAsia="fr-FR"/>
        </w:rPr>
        <w:t>Madame Koubouratou IDJATON</w:t>
      </w:r>
      <w:r w:rsidR="00280B53" w:rsidRPr="00354D07">
        <w:rPr>
          <w:rFonts w:ascii="Gadugi" w:eastAsia="Times New Roman" w:hAnsi="Gadugi" w:cs="Times New Roman"/>
          <w:color w:val="002060"/>
          <w:lang w:eastAsia="fr-FR"/>
        </w:rPr>
        <w:br/>
      </w:r>
      <w:r w:rsidR="00280B53" w:rsidRPr="00354D07">
        <w:rPr>
          <w:rFonts w:ascii="Gadugi" w:eastAsia="Times New Roman" w:hAnsi="Gadugi" w:cs="Times New Roman"/>
          <w:color w:val="002060"/>
          <w:sz w:val="16"/>
          <w:szCs w:val="16"/>
          <w:lang w:eastAsia="fr-FR"/>
        </w:rPr>
        <w:br/>
      </w:r>
      <w:r w:rsidR="00280B53" w:rsidRPr="00354D07">
        <w:rPr>
          <w:rFonts w:ascii="Gadugi" w:eastAsia="Times New Roman" w:hAnsi="Gadugi" w:cs="Times New Roman"/>
          <w:color w:val="002060"/>
          <w:sz w:val="20"/>
          <w:szCs w:val="20"/>
          <w:lang w:eastAsia="fr-FR"/>
        </w:rPr>
        <w:t xml:space="preserve">Sciences et Technologies Industrielles </w:t>
      </w:r>
      <w:r w:rsidR="00280B53" w:rsidRPr="00354D07">
        <w:rPr>
          <w:rFonts w:ascii="Gadugi" w:eastAsia="Times New Roman" w:hAnsi="Gadugi" w:cs="Times New Roman"/>
          <w:color w:val="002060"/>
          <w:sz w:val="20"/>
          <w:szCs w:val="20"/>
          <w:lang w:eastAsia="fr-FR"/>
        </w:rPr>
        <w:br/>
      </w:r>
      <w:r w:rsidR="00280B53" w:rsidRPr="00354D07">
        <w:rPr>
          <w:rFonts w:ascii="Gadugi" w:eastAsia="Times New Roman" w:hAnsi="Gadugi" w:cs="Times New Roman"/>
          <w:color w:val="002060"/>
          <w:sz w:val="16"/>
          <w:szCs w:val="16"/>
          <w:lang w:eastAsia="fr-FR"/>
        </w:rPr>
        <w:br/>
      </w:r>
      <w:r w:rsidR="00280B53" w:rsidRPr="00354D07">
        <w:rPr>
          <w:rFonts w:ascii="Gadugi" w:eastAsia="Times New Roman" w:hAnsi="Gadugi" w:cs="Times New Roman"/>
          <w:color w:val="002060"/>
          <w:sz w:val="20"/>
          <w:szCs w:val="20"/>
          <w:lang w:eastAsia="fr-FR"/>
        </w:rPr>
        <w:t>Soutiendra publiquement ses travaux de thèse intitulés</w:t>
      </w:r>
      <w:r w:rsidR="00280B53" w:rsidRPr="00354D07">
        <w:rPr>
          <w:rFonts w:ascii="Gadugi" w:eastAsia="Times New Roman" w:hAnsi="Gadugi" w:cs="Times New Roman"/>
          <w:color w:val="002060"/>
          <w:sz w:val="20"/>
          <w:szCs w:val="20"/>
          <w:lang w:eastAsia="fr-FR"/>
        </w:rPr>
        <w:br/>
      </w:r>
      <w:r w:rsidR="00280B53" w:rsidRPr="00354D07">
        <w:rPr>
          <w:rFonts w:ascii="Gadugi" w:eastAsia="Times New Roman" w:hAnsi="Gadugi" w:cs="Times New Roman"/>
          <w:color w:val="002060"/>
          <w:sz w:val="16"/>
          <w:szCs w:val="16"/>
          <w:lang w:eastAsia="fr-FR"/>
        </w:rPr>
        <w:br/>
      </w:r>
      <w:r w:rsidR="00280B53" w:rsidRPr="00354D07">
        <w:rPr>
          <w:rFonts w:ascii="Gadugi" w:eastAsia="Times New Roman" w:hAnsi="Gadugi" w:cs="Times New Roman"/>
          <w:i/>
          <w:iCs/>
          <w:color w:val="002060"/>
          <w:sz w:val="20"/>
          <w:szCs w:val="20"/>
          <w:lang w:eastAsia="fr-FR"/>
        </w:rPr>
        <w:t>Analyse d'images et apprentissage machine pour la détection des altérations des pierres des monuments historiques</w:t>
      </w:r>
      <w:r w:rsidR="00280B53" w:rsidRPr="00354D07">
        <w:rPr>
          <w:rFonts w:ascii="Gadugi" w:eastAsia="Times New Roman" w:hAnsi="Gadugi" w:cs="Times New Roman"/>
          <w:color w:val="002060"/>
          <w:sz w:val="20"/>
          <w:szCs w:val="20"/>
          <w:lang w:eastAsia="fr-FR"/>
        </w:rPr>
        <w:t xml:space="preserve"> </w:t>
      </w:r>
      <w:r w:rsidR="00280B53" w:rsidRPr="00354D07">
        <w:rPr>
          <w:rFonts w:ascii="Gadugi" w:eastAsia="Times New Roman" w:hAnsi="Gadugi" w:cs="Times New Roman"/>
          <w:color w:val="002060"/>
          <w:sz w:val="20"/>
          <w:szCs w:val="20"/>
          <w:lang w:eastAsia="fr-FR"/>
        </w:rPr>
        <w:br/>
      </w:r>
      <w:r w:rsidR="00280B53" w:rsidRPr="00354D07">
        <w:rPr>
          <w:rFonts w:ascii="Gadugi" w:eastAsia="Times New Roman" w:hAnsi="Gadugi" w:cs="Times New Roman"/>
          <w:color w:val="002060"/>
          <w:sz w:val="16"/>
          <w:szCs w:val="16"/>
          <w:lang w:eastAsia="fr-FR"/>
        </w:rPr>
        <w:br/>
      </w:r>
      <w:r w:rsidR="00280B53" w:rsidRPr="00354D07">
        <w:rPr>
          <w:rFonts w:ascii="Gadugi" w:eastAsia="Times New Roman" w:hAnsi="Gadugi" w:cs="Times New Roman"/>
          <w:color w:val="002060"/>
          <w:sz w:val="20"/>
          <w:szCs w:val="20"/>
          <w:lang w:eastAsia="fr-FR"/>
        </w:rPr>
        <w:t xml:space="preserve">dirigés par Madame SYLVIE TREUILLET </w:t>
      </w:r>
    </w:p>
    <w:p w:rsidR="00280B53" w:rsidRPr="00280B53" w:rsidRDefault="00280B53" w:rsidP="00280B53">
      <w:pPr>
        <w:spacing w:before="100" w:beforeAutospacing="1" w:after="0" w:line="240" w:lineRule="auto"/>
        <w:jc w:val="center"/>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Ecole doctorale : Mathématiques, Informatique, Physique Théorique et Ingénierie des Systèmes - MIPTIS </w:t>
      </w:r>
      <w:r w:rsidRPr="00280B53">
        <w:rPr>
          <w:rFonts w:ascii="Gadugi" w:eastAsia="Times New Roman" w:hAnsi="Gadugi" w:cs="Times New Roman"/>
          <w:color w:val="002060"/>
          <w:sz w:val="20"/>
          <w:szCs w:val="20"/>
          <w:lang w:eastAsia="fr-FR"/>
        </w:rPr>
        <w:br/>
        <w:t>Unité de recherche : PRISME - Laboratoire Pluridisciplinaire de Recherche en Ingénierie des Systèmes et Mécanique Energétique</w:t>
      </w:r>
    </w:p>
    <w:p w:rsidR="00280B53" w:rsidRPr="00280B53" w:rsidRDefault="00280B53" w:rsidP="00280B53">
      <w:pPr>
        <w:spacing w:after="0" w:line="240" w:lineRule="auto"/>
        <w:jc w:val="center"/>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6"/>
          <w:szCs w:val="6"/>
          <w:lang w:eastAsia="fr-FR"/>
        </w:rPr>
        <w:br/>
      </w:r>
      <w:r w:rsidRPr="00280B53">
        <w:rPr>
          <w:rFonts w:ascii="Gadugi" w:eastAsia="Times New Roman" w:hAnsi="Gadugi" w:cs="Times New Roman"/>
          <w:color w:val="002060"/>
          <w:sz w:val="6"/>
          <w:szCs w:val="6"/>
          <w:lang w:eastAsia="fr-FR"/>
        </w:rPr>
        <w:br/>
      </w:r>
      <w:r w:rsidRPr="00280B53">
        <w:rPr>
          <w:rFonts w:ascii="Gadugi" w:eastAsia="Times New Roman" w:hAnsi="Gadugi" w:cs="Times New Roman"/>
          <w:color w:val="002060"/>
          <w:sz w:val="20"/>
          <w:szCs w:val="20"/>
          <w:lang w:eastAsia="fr-FR"/>
        </w:rPr>
        <w:t xml:space="preserve">Soutenance prévue le </w:t>
      </w:r>
      <w:r w:rsidRPr="00280B53">
        <w:rPr>
          <w:rFonts w:ascii="Gadugi" w:eastAsia="Times New Roman" w:hAnsi="Gadugi" w:cs="Times New Roman"/>
          <w:b/>
          <w:bCs/>
          <w:i/>
          <w:iCs/>
          <w:color w:val="002060"/>
          <w:sz w:val="20"/>
          <w:szCs w:val="20"/>
          <w:lang w:eastAsia="fr-FR"/>
        </w:rPr>
        <w:t xml:space="preserve">lundi 26 septembre 2022 </w:t>
      </w:r>
      <w:r w:rsidRPr="00280B53">
        <w:rPr>
          <w:rFonts w:ascii="Gadugi" w:eastAsia="Times New Roman" w:hAnsi="Gadugi" w:cs="Times New Roman"/>
          <w:color w:val="002060"/>
          <w:sz w:val="20"/>
          <w:szCs w:val="20"/>
          <w:lang w:eastAsia="fr-FR"/>
        </w:rPr>
        <w:t>à 10h00</w:t>
      </w:r>
      <w:r w:rsidRPr="00280B53">
        <w:rPr>
          <w:rFonts w:ascii="Gadugi" w:eastAsia="Times New Roman" w:hAnsi="Gadugi" w:cs="Times New Roman"/>
          <w:color w:val="002060"/>
          <w:sz w:val="20"/>
          <w:szCs w:val="20"/>
          <w:lang w:eastAsia="fr-FR"/>
        </w:rPr>
        <w:br/>
        <w:t xml:space="preserve">Lieu :   12 Rue de Blois, 45100 Orléans </w:t>
      </w:r>
      <w:r w:rsidRPr="00280B53">
        <w:rPr>
          <w:rFonts w:ascii="Gadugi" w:eastAsia="Times New Roman" w:hAnsi="Gadugi" w:cs="Times New Roman"/>
          <w:color w:val="002060"/>
          <w:sz w:val="20"/>
          <w:szCs w:val="20"/>
          <w:lang w:eastAsia="fr-FR"/>
        </w:rPr>
        <w:br/>
        <w:t xml:space="preserve">Salle : Amphi Turing </w:t>
      </w:r>
      <w:r w:rsidRPr="00280B53">
        <w:rPr>
          <w:rFonts w:ascii="Gadugi" w:eastAsia="Times New Roman" w:hAnsi="Gadugi" w:cs="Times New Roman"/>
          <w:color w:val="002060"/>
          <w:sz w:val="20"/>
          <w:szCs w:val="20"/>
          <w:lang w:eastAsia="fr-FR"/>
        </w:rPr>
        <w:br/>
      </w:r>
      <w:r w:rsidRPr="00280B53">
        <w:rPr>
          <w:rFonts w:ascii="Gadugi" w:eastAsia="Times New Roman" w:hAnsi="Gadugi" w:cs="Times New Roman"/>
          <w:color w:val="002060"/>
          <w:sz w:val="20"/>
          <w:szCs w:val="20"/>
          <w:lang w:eastAsia="fr-FR"/>
        </w:rPr>
        <w:br/>
      </w:r>
      <w:r w:rsidRPr="00280B53">
        <w:rPr>
          <w:rFonts w:ascii="Gadugi" w:eastAsia="Times New Roman" w:hAnsi="Gadugi" w:cs="Times New Roman"/>
          <w:b/>
          <w:bCs/>
          <w:color w:val="002060"/>
          <w:sz w:val="20"/>
          <w:szCs w:val="20"/>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723"/>
        <w:gridCol w:w="4183"/>
        <w:gridCol w:w="3092"/>
      </w:tblGrid>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Mme Sylvie </w:t>
            </w:r>
            <w:r w:rsidRPr="00280B53">
              <w:rPr>
                <w:rFonts w:ascii="Gadugi" w:eastAsia="Times New Roman" w:hAnsi="Gadugi" w:cs="Times New Roman"/>
                <w:caps/>
                <w:color w:val="002060"/>
                <w:sz w:val="20"/>
                <w:szCs w:val="20"/>
                <w:lang w:eastAsia="fr-FR"/>
              </w:rPr>
              <w:t>TREUILLET</w:t>
            </w:r>
            <w:r w:rsidRPr="00280B53">
              <w:rPr>
                <w:rFonts w:ascii="Gadugi" w:eastAsia="Times New Roman" w:hAnsi="Gadugi" w:cs="Times New Roman"/>
                <w:color w:val="002060"/>
                <w:sz w:val="20"/>
                <w:szCs w:val="20"/>
                <w:lang w:eastAsia="fr-FR"/>
              </w:rPr>
              <w:t>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Université d'Orléans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Directrice de thèse </w:t>
            </w:r>
          </w:p>
        </w:tc>
      </w:tr>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M. Xavier </w:t>
            </w:r>
            <w:r w:rsidRPr="00280B53">
              <w:rPr>
                <w:rFonts w:ascii="Gadugi" w:eastAsia="Times New Roman" w:hAnsi="Gadugi" w:cs="Times New Roman"/>
                <w:caps/>
                <w:color w:val="002060"/>
                <w:sz w:val="20"/>
                <w:szCs w:val="20"/>
                <w:lang w:eastAsia="fr-FR"/>
              </w:rPr>
              <w:t>DESQUESNES</w:t>
            </w:r>
            <w:r w:rsidRPr="00280B53">
              <w:rPr>
                <w:rFonts w:ascii="Gadugi" w:eastAsia="Times New Roman" w:hAnsi="Gadugi" w:cs="Times New Roman"/>
                <w:color w:val="002060"/>
                <w:sz w:val="20"/>
                <w:szCs w:val="20"/>
                <w:lang w:eastAsia="fr-FR"/>
              </w:rPr>
              <w:t>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Université d'Orléans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Co-encadrant de thèse </w:t>
            </w:r>
          </w:p>
        </w:tc>
      </w:tr>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M. Xavier </w:t>
            </w:r>
            <w:r w:rsidRPr="00280B53">
              <w:rPr>
                <w:rFonts w:ascii="Gadugi" w:eastAsia="Times New Roman" w:hAnsi="Gadugi" w:cs="Times New Roman"/>
                <w:caps/>
                <w:color w:val="002060"/>
                <w:sz w:val="20"/>
                <w:szCs w:val="20"/>
                <w:lang w:eastAsia="fr-FR"/>
              </w:rPr>
              <w:t>BRUNETAUD</w:t>
            </w:r>
            <w:r w:rsidRPr="00280B53">
              <w:rPr>
                <w:rFonts w:ascii="Gadugi" w:eastAsia="Times New Roman" w:hAnsi="Gadugi" w:cs="Times New Roman"/>
                <w:color w:val="002060"/>
                <w:sz w:val="20"/>
                <w:szCs w:val="20"/>
                <w:lang w:eastAsia="fr-FR"/>
              </w:rPr>
              <w:t> </w:t>
            </w:r>
            <w:bookmarkStart w:id="0" w:name="_GoBack"/>
            <w:bookmarkEnd w:id="0"/>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Université d'Orléans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Co-encadrant de thèse </w:t>
            </w:r>
          </w:p>
        </w:tc>
      </w:tr>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Mme Laure </w:t>
            </w:r>
            <w:r w:rsidRPr="00280B53">
              <w:rPr>
                <w:rFonts w:ascii="Gadugi" w:eastAsia="Times New Roman" w:hAnsi="Gadugi" w:cs="Times New Roman"/>
                <w:caps/>
                <w:color w:val="002060"/>
                <w:sz w:val="20"/>
                <w:szCs w:val="20"/>
                <w:lang w:eastAsia="fr-FR"/>
              </w:rPr>
              <w:t>TOUGNE</w:t>
            </w:r>
            <w:r w:rsidRPr="00280B53">
              <w:rPr>
                <w:rFonts w:ascii="Gadugi" w:eastAsia="Times New Roman" w:hAnsi="Gadugi" w:cs="Times New Roman"/>
                <w:color w:val="002060"/>
                <w:sz w:val="20"/>
                <w:szCs w:val="20"/>
                <w:lang w:eastAsia="fr-FR"/>
              </w:rPr>
              <w:t>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Université Lumière Lyon 2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Examinatrice </w:t>
            </w:r>
          </w:p>
        </w:tc>
      </w:tr>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M. Frédéric </w:t>
            </w:r>
            <w:r w:rsidRPr="00280B53">
              <w:rPr>
                <w:rFonts w:ascii="Gadugi" w:eastAsia="Times New Roman" w:hAnsi="Gadugi" w:cs="Times New Roman"/>
                <w:caps/>
                <w:color w:val="002060"/>
                <w:sz w:val="20"/>
                <w:szCs w:val="20"/>
                <w:lang w:eastAsia="fr-FR"/>
              </w:rPr>
              <w:t>BOSCHE</w:t>
            </w:r>
            <w:r w:rsidRPr="00280B53">
              <w:rPr>
                <w:rFonts w:ascii="Gadugi" w:eastAsia="Times New Roman" w:hAnsi="Gadugi" w:cs="Times New Roman"/>
                <w:color w:val="002060"/>
                <w:sz w:val="20"/>
                <w:szCs w:val="20"/>
                <w:lang w:eastAsia="fr-FR"/>
              </w:rPr>
              <w:t>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University of Edinburgh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Examinateur </w:t>
            </w:r>
          </w:p>
        </w:tc>
      </w:tr>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M. Rachid </w:t>
            </w:r>
            <w:r w:rsidRPr="00280B53">
              <w:rPr>
                <w:rFonts w:ascii="Gadugi" w:eastAsia="Times New Roman" w:hAnsi="Gadugi" w:cs="Times New Roman"/>
                <w:caps/>
                <w:color w:val="002060"/>
                <w:sz w:val="20"/>
                <w:szCs w:val="20"/>
                <w:lang w:eastAsia="fr-FR"/>
              </w:rPr>
              <w:t>HARBA</w:t>
            </w:r>
            <w:r w:rsidRPr="00280B53">
              <w:rPr>
                <w:rFonts w:ascii="Gadugi" w:eastAsia="Times New Roman" w:hAnsi="Gadugi" w:cs="Times New Roman"/>
                <w:color w:val="002060"/>
                <w:sz w:val="20"/>
                <w:szCs w:val="20"/>
                <w:lang w:eastAsia="fr-FR"/>
              </w:rPr>
              <w:t>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Université d'Orléans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Examinateur </w:t>
            </w:r>
          </w:p>
        </w:tc>
      </w:tr>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M. Abderrahim </w:t>
            </w:r>
            <w:r w:rsidRPr="00280B53">
              <w:rPr>
                <w:rFonts w:ascii="Gadugi" w:eastAsia="Times New Roman" w:hAnsi="Gadugi" w:cs="Times New Roman"/>
                <w:caps/>
                <w:color w:val="002060"/>
                <w:sz w:val="20"/>
                <w:szCs w:val="20"/>
                <w:lang w:eastAsia="fr-FR"/>
              </w:rPr>
              <w:t>ELMOATAZ</w:t>
            </w:r>
            <w:r w:rsidRPr="00280B53">
              <w:rPr>
                <w:rFonts w:ascii="Gadugi" w:eastAsia="Times New Roman" w:hAnsi="Gadugi" w:cs="Times New Roman"/>
                <w:color w:val="002060"/>
                <w:sz w:val="20"/>
                <w:szCs w:val="20"/>
                <w:lang w:eastAsia="fr-FR"/>
              </w:rPr>
              <w:t>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Université de Caen Normandie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Rapporteur </w:t>
            </w:r>
          </w:p>
        </w:tc>
      </w:tr>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Mme Catherine </w:t>
            </w:r>
            <w:r w:rsidRPr="00280B53">
              <w:rPr>
                <w:rFonts w:ascii="Gadugi" w:eastAsia="Times New Roman" w:hAnsi="Gadugi" w:cs="Times New Roman"/>
                <w:caps/>
                <w:color w:val="002060"/>
                <w:sz w:val="20"/>
                <w:szCs w:val="20"/>
                <w:lang w:eastAsia="fr-FR"/>
              </w:rPr>
              <w:t>ACHARD</w:t>
            </w:r>
            <w:r w:rsidRPr="00280B53">
              <w:rPr>
                <w:rFonts w:ascii="Gadugi" w:eastAsia="Times New Roman" w:hAnsi="Gadugi" w:cs="Times New Roman"/>
                <w:color w:val="002060"/>
                <w:sz w:val="20"/>
                <w:szCs w:val="20"/>
                <w:lang w:eastAsia="fr-FR"/>
              </w:rPr>
              <w:t>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Campus Pierre et Marie Curie </w:t>
            </w:r>
          </w:p>
        </w:tc>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 xml:space="preserve">Rapporteure </w:t>
            </w:r>
          </w:p>
        </w:tc>
      </w:tr>
    </w:tbl>
    <w:p w:rsidR="00280B53" w:rsidRPr="00280B53" w:rsidRDefault="00280B53" w:rsidP="00280B53">
      <w:pPr>
        <w:spacing w:after="240" w:line="240" w:lineRule="auto"/>
        <w:rPr>
          <w:rFonts w:ascii="Gadugi" w:eastAsia="Times New Roman" w:hAnsi="Gadugi" w:cs="Times New Roman"/>
          <w:color w:val="002060"/>
          <w:sz w:val="6"/>
          <w:szCs w:val="6"/>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4"/>
        <w:gridCol w:w="7620"/>
      </w:tblGrid>
      <w:tr w:rsidR="00354D07" w:rsidRPr="00354D07" w:rsidTr="00280B53">
        <w:trPr>
          <w:tblCellSpacing w:w="15" w:type="dxa"/>
        </w:trPr>
        <w:tc>
          <w:tcPr>
            <w:tcW w:w="0" w:type="auto"/>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b/>
                <w:bCs/>
                <w:color w:val="002060"/>
                <w:sz w:val="20"/>
                <w:szCs w:val="20"/>
                <w:lang w:eastAsia="fr-FR"/>
              </w:rPr>
              <w:t>Mots-clés :</w:t>
            </w:r>
            <w:r w:rsidRPr="00280B53">
              <w:rPr>
                <w:rFonts w:ascii="Gadugi" w:eastAsia="Times New Roman" w:hAnsi="Gadugi" w:cs="Times New Roman"/>
                <w:color w:val="002060"/>
                <w:sz w:val="20"/>
                <w:szCs w:val="20"/>
                <w:lang w:eastAsia="fr-FR"/>
              </w:rPr>
              <w:t xml:space="preserve"> </w:t>
            </w:r>
          </w:p>
        </w:tc>
        <w:tc>
          <w:tcPr>
            <w:tcW w:w="0" w:type="auto"/>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color w:val="002060"/>
                <w:sz w:val="20"/>
                <w:szCs w:val="20"/>
                <w:lang w:eastAsia="fr-FR"/>
              </w:rPr>
              <w:t>analyse d’images couleur,vision 3D,intelligence du patrimoine,apprentissage machine,</w:t>
            </w:r>
          </w:p>
        </w:tc>
      </w:tr>
    </w:tbl>
    <w:p w:rsidR="00280B53" w:rsidRPr="00280B53" w:rsidRDefault="00280B53" w:rsidP="00280B53">
      <w:pPr>
        <w:spacing w:after="0" w:line="240" w:lineRule="auto"/>
        <w:rPr>
          <w:rFonts w:ascii="Gadugi" w:eastAsia="Times New Roman" w:hAnsi="Gadugi" w:cs="Times New Roman"/>
          <w:color w:val="002060"/>
          <w:sz w:val="16"/>
          <w:szCs w:val="1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354D07" w:rsidRPr="00354D07" w:rsidTr="00280B53">
        <w:trPr>
          <w:tblCellSpacing w:w="15" w:type="dxa"/>
        </w:trPr>
        <w:tc>
          <w:tcPr>
            <w:tcW w:w="0" w:type="auto"/>
            <w:vAlign w:val="center"/>
            <w:hideMark/>
          </w:tcPr>
          <w:p w:rsidR="00280B53" w:rsidRPr="00280B53" w:rsidRDefault="00280B53" w:rsidP="00280B53">
            <w:pPr>
              <w:spacing w:after="0" w:line="240" w:lineRule="auto"/>
              <w:rPr>
                <w:rFonts w:ascii="Gadugi" w:eastAsia="Times New Roman" w:hAnsi="Gadugi" w:cs="Times New Roman"/>
                <w:color w:val="002060"/>
                <w:sz w:val="20"/>
                <w:szCs w:val="20"/>
                <w:lang w:eastAsia="fr-FR"/>
              </w:rPr>
            </w:pPr>
            <w:r w:rsidRPr="00280B53">
              <w:rPr>
                <w:rFonts w:ascii="Gadugi" w:eastAsia="Times New Roman" w:hAnsi="Gadugi" w:cs="Times New Roman"/>
                <w:b/>
                <w:bCs/>
                <w:color w:val="002060"/>
                <w:sz w:val="20"/>
                <w:szCs w:val="20"/>
                <w:lang w:eastAsia="fr-FR"/>
              </w:rPr>
              <w:t>Résumé :</w:t>
            </w:r>
            <w:r w:rsidRPr="00280B53">
              <w:rPr>
                <w:rFonts w:ascii="Gadugi" w:eastAsia="Times New Roman" w:hAnsi="Gadugi" w:cs="Times New Roman"/>
                <w:color w:val="002060"/>
                <w:sz w:val="20"/>
                <w:szCs w:val="20"/>
                <w:lang w:eastAsia="fr-FR"/>
              </w:rPr>
              <w:t xml:space="preserve">  </w:t>
            </w:r>
          </w:p>
        </w:tc>
      </w:tr>
      <w:tr w:rsidR="00354D07" w:rsidRPr="00065542" w:rsidTr="00280B53">
        <w:trPr>
          <w:tblCellSpacing w:w="15" w:type="dxa"/>
        </w:trPr>
        <w:tc>
          <w:tcPr>
            <w:tcW w:w="0" w:type="auto"/>
            <w:vAlign w:val="center"/>
            <w:hideMark/>
          </w:tcPr>
          <w:p w:rsidR="00280B53" w:rsidRPr="00065542" w:rsidRDefault="00280B53" w:rsidP="00280B53">
            <w:pPr>
              <w:spacing w:after="0" w:line="240" w:lineRule="auto"/>
              <w:jc w:val="both"/>
              <w:rPr>
                <w:rFonts w:eastAsia="Times New Roman" w:cstheme="minorHAnsi"/>
                <w:color w:val="002060"/>
                <w:lang w:eastAsia="fr-FR"/>
              </w:rPr>
            </w:pPr>
            <w:r w:rsidRPr="00065542">
              <w:rPr>
                <w:rFonts w:eastAsia="Times New Roman" w:cstheme="minorHAnsi"/>
                <w:color w:val="002060"/>
                <w:lang w:eastAsia="fr-FR"/>
              </w:rPr>
              <w:t>La préservation des monuments historiques exige une surveillance de leur état pour assurer la sécurité des visiteurs et planifier au mieux les opérations de restauration. Cette surveillance repose essentiellement sur une observation visuelle réalisée par des experts sur site et un lourd et fastidieux travail d'inventaire et d'annotations manuelles sur des photos. Cette thèse propose de nouvelles méthodes d'analyse automatiques basées sur l'apprentissage machine pour faire de l’aide au diagnostic assisté par ordinateur à partir les images acquises pour la modélisation 3D complète de deux châteaux emblématiques du Val de Loire construits en tuffeau. Les travaux abordent deux problématiques: la segmentation pierre-à-pierre et la détection des altérations des pierres. Pour la segmentation pierre-à-pierre, une base</w:t>
            </w:r>
            <w:r w:rsidR="00065542">
              <w:rPr>
                <w:rFonts w:eastAsia="Times New Roman" w:cstheme="minorHAnsi"/>
                <w:color w:val="002060"/>
                <w:lang w:eastAsia="fr-FR"/>
              </w:rPr>
              <w:t xml:space="preserve"> d'images labellisées a été crée</w:t>
            </w:r>
            <w:r w:rsidRPr="00065542">
              <w:rPr>
                <w:rFonts w:eastAsia="Times New Roman" w:cstheme="minorHAnsi"/>
                <w:color w:val="002060"/>
                <w:lang w:eastAsia="fr-FR"/>
              </w:rPr>
              <w:t xml:space="preserve"> grâce à une méthode ad-hoc utilisant des méthodes traditionnelles de seuillage et détection de contours des images couleur. Cette base a ensuite servi à l'entrainement des meilleurs réseaux neuronaux de segmentation de l'état de l'art (FCN, SegNet, U-Net et DeepLab). Une étude comparative permet de valider le réseau DeepLab comme le plus performant et robuste face aux images complexes (avec une similarité de 98% avec la vérité terrain mesurée par l'indice de Jaccard). Pour la détection des altérations des pierres, une seconde base d'apprentissage a été créée en s'appuyant sur une approche originale d’augmentation des données par la reprojection automatique des annotations d</w:t>
            </w:r>
            <w:r w:rsidR="00065542">
              <w:rPr>
                <w:rFonts w:eastAsia="Times New Roman" w:cstheme="minorHAnsi"/>
                <w:color w:val="002060"/>
                <w:lang w:eastAsia="fr-FR"/>
              </w:rPr>
              <w:t>es experts réalisé</w:t>
            </w:r>
            <w:r w:rsidRPr="00065542">
              <w:rPr>
                <w:rFonts w:eastAsia="Times New Roman" w:cstheme="minorHAnsi"/>
                <w:color w:val="002060"/>
                <w:lang w:eastAsia="fr-FR"/>
              </w:rPr>
              <w:t xml:space="preserve">s sur des orthophotos vers les images couleurs de haute résolution d'origine. La nouvelle architecture proposée, qui insère des modules de transformateurs dans le réseau YOLO, permet d’obtenir des performances qui surpassent l’état de l’art pour la détection d’altérations des pierres (avec un taux de recouvrement avec la vérité de 80%). Enfin, une plateforme Web opérationnelle permet aux experts d'appliquer les approches proposées et visualiser les résultats de segmentation automatique via une interface conviviale, pour faciliter leur diagnostic sur les façades des châteaux. Ces contributions ouvrent la voie au développement d'un outil convivial multi acteurs pour un diagnostic plus précis des grands monuments. </w:t>
            </w:r>
          </w:p>
        </w:tc>
      </w:tr>
    </w:tbl>
    <w:p w:rsidR="006818D9" w:rsidRPr="00A33447" w:rsidRDefault="006818D9" w:rsidP="00280B53">
      <w:pPr>
        <w:jc w:val="center"/>
        <w:rPr>
          <w:rFonts w:ascii="Gadugi" w:hAnsi="Gadugi"/>
          <w:color w:val="002060"/>
        </w:rPr>
      </w:pPr>
    </w:p>
    <w:sectPr w:rsidR="006818D9" w:rsidRPr="00A33447"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91" w:rsidRDefault="00810D91" w:rsidP="006E3318">
      <w:pPr>
        <w:spacing w:after="0" w:line="240" w:lineRule="auto"/>
      </w:pPr>
      <w:r>
        <w:separator/>
      </w:r>
    </w:p>
  </w:endnote>
  <w:endnote w:type="continuationSeparator" w:id="0">
    <w:p w:rsidR="00810D91" w:rsidRDefault="00810D91"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91" w:rsidRDefault="00810D91" w:rsidP="006E3318">
      <w:pPr>
        <w:spacing w:after="0" w:line="240" w:lineRule="auto"/>
      </w:pPr>
      <w:r>
        <w:separator/>
      </w:r>
    </w:p>
  </w:footnote>
  <w:footnote w:type="continuationSeparator" w:id="0">
    <w:p w:rsidR="00810D91" w:rsidRDefault="00810D91"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65542"/>
    <w:rsid w:val="00280B53"/>
    <w:rsid w:val="002E02D3"/>
    <w:rsid w:val="00354D07"/>
    <w:rsid w:val="003B256B"/>
    <w:rsid w:val="00570762"/>
    <w:rsid w:val="006818D9"/>
    <w:rsid w:val="006E3318"/>
    <w:rsid w:val="00810D91"/>
    <w:rsid w:val="00A33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1ACF2"/>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A507-731F-4638-9DC1-63039ECD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dcterms:created xsi:type="dcterms:W3CDTF">2022-09-13T06:50:00Z</dcterms:created>
  <dcterms:modified xsi:type="dcterms:W3CDTF">2022-09-13T06:50:00Z</dcterms:modified>
</cp:coreProperties>
</file>