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ED08F4" w:rsidRPr="00ED08F4" w:rsidRDefault="006E3318" w:rsidP="00ED08F4">
      <w:pPr>
        <w:jc w:val="center"/>
        <w:rPr>
          <w:rFonts w:ascii="Gadugi" w:eastAsia="Times New Roman" w:hAnsi="Gadugi" w:cs="Times New Roman"/>
          <w:color w:val="002060"/>
          <w:sz w:val="24"/>
          <w:szCs w:val="24"/>
          <w:lang w:eastAsia="fr-FR"/>
        </w:rPr>
      </w:pPr>
      <w:r w:rsidRPr="00A33447">
        <w:rPr>
          <w:rFonts w:ascii="Gadugi" w:eastAsia="Times New Roman" w:hAnsi="Gadugi" w:cs="Times New Roman"/>
          <w:color w:val="002060"/>
          <w:sz w:val="16"/>
          <w:szCs w:val="16"/>
          <w:lang w:eastAsia="fr-FR"/>
        </w:rPr>
        <w:br/>
      </w:r>
      <w:r w:rsidR="00ED08F4" w:rsidRPr="00ED08F4">
        <w:rPr>
          <w:rFonts w:ascii="Gadugi" w:eastAsia="Times New Roman" w:hAnsi="Gadugi" w:cs="Times New Roman"/>
          <w:color w:val="002060"/>
          <w:sz w:val="30"/>
          <w:szCs w:val="30"/>
          <w:lang w:eastAsia="fr-FR"/>
        </w:rPr>
        <w:t>Madame Mélanie CIMORELLI</w:t>
      </w:r>
      <w:r w:rsidR="00ED08F4" w:rsidRPr="00ED08F4">
        <w:rPr>
          <w:rFonts w:ascii="Gadugi" w:eastAsia="Times New Roman" w:hAnsi="Gadugi" w:cs="Times New Roman"/>
          <w:color w:val="002060"/>
          <w:sz w:val="24"/>
          <w:szCs w:val="24"/>
          <w:lang w:eastAsia="fr-FR"/>
        </w:rPr>
        <w:br/>
      </w:r>
      <w:r w:rsidR="00ED08F4" w:rsidRPr="00ED08F4">
        <w:rPr>
          <w:rFonts w:ascii="Gadugi" w:eastAsia="Times New Roman" w:hAnsi="Gadugi" w:cs="Times New Roman"/>
          <w:color w:val="002060"/>
          <w:sz w:val="24"/>
          <w:szCs w:val="24"/>
          <w:lang w:eastAsia="fr-FR"/>
        </w:rPr>
        <w:br/>
      </w:r>
      <w:r w:rsidR="00ED08F4" w:rsidRPr="00ED08F4">
        <w:rPr>
          <w:rFonts w:ascii="Gadugi" w:eastAsia="Times New Roman" w:hAnsi="Gadugi" w:cs="Times New Roman"/>
          <w:color w:val="002060"/>
          <w:sz w:val="28"/>
          <w:szCs w:val="28"/>
          <w:lang w:eastAsia="fr-FR"/>
        </w:rPr>
        <w:t>Chimie</w:t>
      </w:r>
      <w:r w:rsidR="00ED08F4" w:rsidRPr="00ED08F4">
        <w:rPr>
          <w:rFonts w:ascii="Gadugi" w:eastAsia="Times New Roman" w:hAnsi="Gadugi" w:cs="Times New Roman"/>
          <w:color w:val="002060"/>
          <w:sz w:val="24"/>
          <w:szCs w:val="24"/>
          <w:lang w:eastAsia="fr-FR"/>
        </w:rPr>
        <w:t xml:space="preserve"> </w:t>
      </w:r>
      <w:r w:rsidR="00ED08F4" w:rsidRPr="00ED08F4">
        <w:rPr>
          <w:rFonts w:ascii="Gadugi" w:eastAsia="Times New Roman" w:hAnsi="Gadugi" w:cs="Times New Roman"/>
          <w:color w:val="002060"/>
          <w:sz w:val="24"/>
          <w:szCs w:val="24"/>
          <w:lang w:eastAsia="fr-FR"/>
        </w:rPr>
        <w:br/>
      </w:r>
      <w:r w:rsidR="00ED08F4" w:rsidRPr="00ED08F4">
        <w:rPr>
          <w:rFonts w:ascii="Gadugi" w:eastAsia="Times New Roman" w:hAnsi="Gadugi" w:cs="Times New Roman"/>
          <w:color w:val="002060"/>
          <w:sz w:val="24"/>
          <w:szCs w:val="24"/>
          <w:lang w:eastAsia="fr-FR"/>
        </w:rPr>
        <w:br/>
        <w:t>Soutiendra à huis clos ses travaux de thèse intitulés</w:t>
      </w:r>
      <w:r w:rsidR="00ED08F4" w:rsidRPr="00ED08F4">
        <w:rPr>
          <w:rFonts w:ascii="Gadugi" w:eastAsia="Times New Roman" w:hAnsi="Gadugi" w:cs="Times New Roman"/>
          <w:color w:val="002060"/>
          <w:sz w:val="24"/>
          <w:szCs w:val="24"/>
          <w:lang w:eastAsia="fr-FR"/>
        </w:rPr>
        <w:br/>
      </w:r>
      <w:r w:rsidR="00ED08F4" w:rsidRPr="00ED08F4">
        <w:rPr>
          <w:rFonts w:ascii="Gadugi" w:eastAsia="Times New Roman" w:hAnsi="Gadugi" w:cs="Times New Roman"/>
          <w:color w:val="002060"/>
          <w:sz w:val="24"/>
          <w:szCs w:val="24"/>
          <w:lang w:eastAsia="fr-FR"/>
        </w:rPr>
        <w:br/>
      </w:r>
      <w:r w:rsidR="00ED08F4" w:rsidRPr="00ED08F4">
        <w:rPr>
          <w:rFonts w:ascii="Gadugi" w:eastAsia="Times New Roman" w:hAnsi="Gadugi" w:cs="Times New Roman"/>
          <w:i/>
          <w:iCs/>
          <w:color w:val="002060"/>
          <w:sz w:val="24"/>
          <w:szCs w:val="24"/>
          <w:lang w:eastAsia="fr-FR"/>
        </w:rPr>
        <w:t>Marquages isotopiques d’antibiotiques : méthodologies d’hémisynthèses pour suivi thérapeutique médicamenteux</w:t>
      </w:r>
      <w:r w:rsidR="00ED08F4" w:rsidRPr="00ED08F4">
        <w:rPr>
          <w:rFonts w:ascii="Gadugi" w:eastAsia="Times New Roman" w:hAnsi="Gadugi" w:cs="Times New Roman"/>
          <w:color w:val="002060"/>
          <w:sz w:val="24"/>
          <w:szCs w:val="24"/>
          <w:lang w:eastAsia="fr-FR"/>
        </w:rPr>
        <w:t xml:space="preserve"> </w:t>
      </w:r>
      <w:r w:rsidR="00ED08F4" w:rsidRPr="00ED08F4">
        <w:rPr>
          <w:rFonts w:ascii="Gadugi" w:eastAsia="Times New Roman" w:hAnsi="Gadugi" w:cs="Times New Roman"/>
          <w:color w:val="002060"/>
          <w:sz w:val="24"/>
          <w:szCs w:val="24"/>
          <w:lang w:eastAsia="fr-FR"/>
        </w:rPr>
        <w:br/>
      </w:r>
      <w:r w:rsidR="00ED08F4" w:rsidRPr="00ED08F4">
        <w:rPr>
          <w:rFonts w:ascii="Gadugi" w:eastAsia="Times New Roman" w:hAnsi="Gadugi" w:cs="Times New Roman"/>
          <w:color w:val="002060"/>
          <w:sz w:val="24"/>
          <w:szCs w:val="24"/>
          <w:lang w:eastAsia="fr-FR"/>
        </w:rPr>
        <w:br/>
        <w:t xml:space="preserve">dirigés par Monsieur Arnaud TATIBOUET </w:t>
      </w:r>
    </w:p>
    <w:p w:rsidR="00ED08F4" w:rsidRPr="00ED08F4" w:rsidRDefault="00ED08F4" w:rsidP="00ED08F4">
      <w:pPr>
        <w:spacing w:before="100" w:beforeAutospacing="1" w:after="0" w:line="240" w:lineRule="auto"/>
        <w:jc w:val="center"/>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 xml:space="preserve">Ecole doctorale : Santé, Sciences Biologiques et Chimie du Vivant - SSBCV </w:t>
      </w:r>
      <w:r w:rsidRPr="00ED08F4">
        <w:rPr>
          <w:rFonts w:ascii="Gadugi" w:eastAsia="Times New Roman" w:hAnsi="Gadugi" w:cs="Times New Roman"/>
          <w:color w:val="002060"/>
          <w:sz w:val="24"/>
          <w:szCs w:val="24"/>
          <w:lang w:eastAsia="fr-FR"/>
        </w:rPr>
        <w:br/>
        <w:t>Unité de recherche : ICOA - Institut de Chimie Organique et Analytique</w:t>
      </w:r>
    </w:p>
    <w:p w:rsidR="00ED08F4" w:rsidRPr="00ED08F4" w:rsidRDefault="00ED08F4" w:rsidP="00ED08F4">
      <w:pPr>
        <w:spacing w:after="0" w:line="240" w:lineRule="auto"/>
        <w:jc w:val="center"/>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br/>
      </w:r>
      <w:r w:rsidRPr="00ED08F4">
        <w:rPr>
          <w:rFonts w:ascii="Gadugi" w:eastAsia="Times New Roman" w:hAnsi="Gadugi" w:cs="Times New Roman"/>
          <w:color w:val="002060"/>
          <w:sz w:val="24"/>
          <w:szCs w:val="24"/>
          <w:lang w:eastAsia="fr-FR"/>
        </w:rPr>
        <w:br/>
        <w:t xml:space="preserve">Soutenance prévue le </w:t>
      </w:r>
      <w:r w:rsidRPr="00ED08F4">
        <w:rPr>
          <w:rFonts w:ascii="Gadugi" w:eastAsia="Times New Roman" w:hAnsi="Gadugi" w:cs="Times New Roman"/>
          <w:b/>
          <w:bCs/>
          <w:i/>
          <w:iCs/>
          <w:color w:val="002060"/>
          <w:sz w:val="24"/>
          <w:szCs w:val="24"/>
          <w:lang w:eastAsia="fr-FR"/>
        </w:rPr>
        <w:t xml:space="preserve">lundi 10 octobre 2022 </w:t>
      </w:r>
      <w:r w:rsidRPr="00ED08F4">
        <w:rPr>
          <w:rFonts w:ascii="Gadugi" w:eastAsia="Times New Roman" w:hAnsi="Gadugi" w:cs="Times New Roman"/>
          <w:color w:val="002060"/>
          <w:sz w:val="24"/>
          <w:szCs w:val="24"/>
          <w:lang w:eastAsia="fr-FR"/>
        </w:rPr>
        <w:t>à 13h30</w:t>
      </w:r>
      <w:r w:rsidRPr="00ED08F4">
        <w:rPr>
          <w:rFonts w:ascii="Gadugi" w:eastAsia="Times New Roman" w:hAnsi="Gadugi" w:cs="Times New Roman"/>
          <w:color w:val="002060"/>
          <w:sz w:val="24"/>
          <w:szCs w:val="24"/>
          <w:lang w:eastAsia="fr-FR"/>
        </w:rPr>
        <w:br/>
        <w:t xml:space="preserve">Lieu :   UFR DEG Rue de Blois, 45100 Orléans </w:t>
      </w:r>
      <w:r w:rsidRPr="00ED08F4">
        <w:rPr>
          <w:rFonts w:ascii="Gadugi" w:eastAsia="Times New Roman" w:hAnsi="Gadugi" w:cs="Times New Roman"/>
          <w:color w:val="002060"/>
          <w:sz w:val="24"/>
          <w:szCs w:val="24"/>
          <w:lang w:eastAsia="fr-FR"/>
        </w:rPr>
        <w:br/>
        <w:t xml:space="preserve">Salle : des Thèses </w:t>
      </w:r>
      <w:r w:rsidRPr="00ED08F4">
        <w:rPr>
          <w:rFonts w:ascii="Gadugi" w:eastAsia="Times New Roman" w:hAnsi="Gadugi" w:cs="Times New Roman"/>
          <w:color w:val="002060"/>
          <w:sz w:val="24"/>
          <w:szCs w:val="24"/>
          <w:lang w:eastAsia="fr-FR"/>
        </w:rPr>
        <w:br/>
      </w:r>
      <w:r w:rsidRPr="00ED08F4">
        <w:rPr>
          <w:rFonts w:ascii="Gadugi" w:eastAsia="Times New Roman" w:hAnsi="Gadugi" w:cs="Times New Roman"/>
          <w:color w:val="002060"/>
          <w:sz w:val="24"/>
          <w:szCs w:val="24"/>
          <w:lang w:eastAsia="fr-FR"/>
        </w:rPr>
        <w:br/>
      </w:r>
      <w:r w:rsidRPr="00ED08F4">
        <w:rPr>
          <w:rFonts w:ascii="Gadugi" w:eastAsia="Times New Roman" w:hAnsi="Gadugi" w:cs="Times New Roman"/>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4691"/>
        <w:gridCol w:w="3632"/>
        <w:gridCol w:w="2675"/>
      </w:tblGrid>
      <w:tr w:rsidR="00ED08F4" w:rsidRPr="00ED08F4" w:rsidTr="00ED08F4">
        <w:trPr>
          <w:tblCellSpacing w:w="15" w:type="dxa"/>
        </w:trPr>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M. Arnaud </w:t>
            </w:r>
            <w:r w:rsidRPr="00ED08F4">
              <w:rPr>
                <w:rFonts w:ascii="Gadugi" w:eastAsia="Times New Roman" w:hAnsi="Gadugi" w:cs="Times New Roman"/>
                <w:caps/>
                <w:color w:val="002060"/>
                <w:sz w:val="24"/>
                <w:szCs w:val="24"/>
                <w:lang w:eastAsia="fr-FR"/>
              </w:rPr>
              <w:t>TATIBOUET</w:t>
            </w:r>
            <w:r w:rsidRPr="00ED08F4">
              <w:rPr>
                <w:rFonts w:ascii="Gadugi" w:eastAsia="Times New Roman" w:hAnsi="Gadugi" w:cs="Times New Roman"/>
                <w:color w:val="002060"/>
                <w:sz w:val="24"/>
                <w:szCs w:val="24"/>
                <w:lang w:eastAsia="fr-FR"/>
              </w:rPr>
              <w:t>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Université d'Orléans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 xml:space="preserve">Directeur de thèse </w:t>
            </w:r>
          </w:p>
        </w:tc>
      </w:tr>
      <w:tr w:rsidR="00ED08F4" w:rsidRPr="00ED08F4" w:rsidTr="00ED08F4">
        <w:trPr>
          <w:tblCellSpacing w:w="15" w:type="dxa"/>
        </w:trPr>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Mme Stéphanie </w:t>
            </w:r>
            <w:r w:rsidRPr="00ED08F4">
              <w:rPr>
                <w:rFonts w:ascii="Gadugi" w:eastAsia="Times New Roman" w:hAnsi="Gadugi" w:cs="Times New Roman"/>
                <w:caps/>
                <w:color w:val="002060"/>
                <w:sz w:val="24"/>
                <w:szCs w:val="24"/>
                <w:lang w:eastAsia="fr-FR"/>
              </w:rPr>
              <w:t>NORSIKIAN</w:t>
            </w:r>
            <w:r w:rsidRPr="00ED08F4">
              <w:rPr>
                <w:rFonts w:ascii="Gadugi" w:eastAsia="Times New Roman" w:hAnsi="Gadugi" w:cs="Times New Roman"/>
                <w:color w:val="002060"/>
                <w:sz w:val="24"/>
                <w:szCs w:val="24"/>
                <w:lang w:eastAsia="fr-FR"/>
              </w:rPr>
              <w:t>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CNRS Gif sur Yvette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 xml:space="preserve">Rapporteure </w:t>
            </w:r>
          </w:p>
        </w:tc>
      </w:tr>
      <w:tr w:rsidR="00ED08F4" w:rsidRPr="00ED08F4" w:rsidTr="00ED08F4">
        <w:trPr>
          <w:tblCellSpacing w:w="15" w:type="dxa"/>
        </w:trPr>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M. Patrick </w:t>
            </w:r>
            <w:r w:rsidRPr="00ED08F4">
              <w:rPr>
                <w:rFonts w:ascii="Gadugi" w:eastAsia="Times New Roman" w:hAnsi="Gadugi" w:cs="Times New Roman"/>
                <w:caps/>
                <w:color w:val="002060"/>
                <w:sz w:val="24"/>
                <w:szCs w:val="24"/>
                <w:lang w:eastAsia="fr-FR"/>
              </w:rPr>
              <w:t>PALE</w:t>
            </w:r>
            <w:r w:rsidRPr="00ED08F4">
              <w:rPr>
                <w:rFonts w:ascii="Gadugi" w:eastAsia="Times New Roman" w:hAnsi="Gadugi" w:cs="Times New Roman"/>
                <w:color w:val="002060"/>
                <w:sz w:val="24"/>
                <w:szCs w:val="24"/>
                <w:lang w:eastAsia="fr-FR"/>
              </w:rPr>
              <w:t>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Université de Strasbourg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 xml:space="preserve">Rapporteur </w:t>
            </w:r>
          </w:p>
        </w:tc>
      </w:tr>
      <w:tr w:rsidR="00ED08F4" w:rsidRPr="00ED08F4" w:rsidTr="00ED08F4">
        <w:trPr>
          <w:tblCellSpacing w:w="15" w:type="dxa"/>
        </w:trPr>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Mme Sabine </w:t>
            </w:r>
            <w:r w:rsidRPr="00ED08F4">
              <w:rPr>
                <w:rFonts w:ascii="Gadugi" w:eastAsia="Times New Roman" w:hAnsi="Gadugi" w:cs="Times New Roman"/>
                <w:caps/>
                <w:color w:val="002060"/>
                <w:sz w:val="24"/>
                <w:szCs w:val="24"/>
                <w:lang w:eastAsia="fr-FR"/>
              </w:rPr>
              <w:t>BERTEINA-RABOIN</w:t>
            </w:r>
            <w:r w:rsidRPr="00ED08F4">
              <w:rPr>
                <w:rFonts w:ascii="Gadugi" w:eastAsia="Times New Roman" w:hAnsi="Gadugi" w:cs="Times New Roman"/>
                <w:color w:val="002060"/>
                <w:sz w:val="24"/>
                <w:szCs w:val="24"/>
                <w:lang w:eastAsia="fr-FR"/>
              </w:rPr>
              <w:t>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Université d'Orléans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 xml:space="preserve">Examinatrice </w:t>
            </w:r>
          </w:p>
        </w:tc>
      </w:tr>
      <w:tr w:rsidR="00ED08F4" w:rsidRPr="00ED08F4" w:rsidTr="00ED08F4">
        <w:trPr>
          <w:tblCellSpacing w:w="15" w:type="dxa"/>
        </w:trPr>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M. Yves </w:t>
            </w:r>
            <w:r w:rsidRPr="00ED08F4">
              <w:rPr>
                <w:rFonts w:ascii="Gadugi" w:eastAsia="Times New Roman" w:hAnsi="Gadugi" w:cs="Times New Roman"/>
                <w:caps/>
                <w:color w:val="002060"/>
                <w:sz w:val="24"/>
                <w:szCs w:val="24"/>
                <w:lang w:eastAsia="fr-FR"/>
              </w:rPr>
              <w:t>BLERIOT</w:t>
            </w:r>
            <w:r w:rsidRPr="00ED08F4">
              <w:rPr>
                <w:rFonts w:ascii="Gadugi" w:eastAsia="Times New Roman" w:hAnsi="Gadugi" w:cs="Times New Roman"/>
                <w:color w:val="002060"/>
                <w:sz w:val="24"/>
                <w:szCs w:val="24"/>
                <w:lang w:eastAsia="fr-FR"/>
              </w:rPr>
              <w:t>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Université de Poitiers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 xml:space="preserve">Examinateur </w:t>
            </w:r>
          </w:p>
        </w:tc>
      </w:tr>
      <w:tr w:rsidR="00ED08F4" w:rsidRPr="00ED08F4" w:rsidTr="00ED08F4">
        <w:trPr>
          <w:tblCellSpacing w:w="15" w:type="dxa"/>
        </w:trPr>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M. Nicolas </w:t>
            </w:r>
            <w:r w:rsidRPr="00ED08F4">
              <w:rPr>
                <w:rFonts w:ascii="Gadugi" w:eastAsia="Times New Roman" w:hAnsi="Gadugi" w:cs="Times New Roman"/>
                <w:caps/>
                <w:color w:val="002060"/>
                <w:sz w:val="24"/>
                <w:szCs w:val="24"/>
                <w:lang w:eastAsia="fr-FR"/>
              </w:rPr>
              <w:t>CHOPIN</w:t>
            </w:r>
            <w:r w:rsidRPr="00ED08F4">
              <w:rPr>
                <w:rFonts w:ascii="Gadugi" w:eastAsia="Times New Roman" w:hAnsi="Gadugi" w:cs="Times New Roman"/>
                <w:color w:val="002060"/>
                <w:sz w:val="24"/>
                <w:szCs w:val="24"/>
                <w:lang w:eastAsia="fr-FR"/>
              </w:rPr>
              <w:t>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Nucleosyn  </w:t>
            </w:r>
          </w:p>
        </w:tc>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Invité</w:t>
            </w:r>
          </w:p>
        </w:tc>
      </w:tr>
    </w:tbl>
    <w:p w:rsidR="00ED08F4" w:rsidRPr="00ED08F4" w:rsidRDefault="00ED08F4" w:rsidP="00ED08F4">
      <w:pPr>
        <w:spacing w:after="240" w:line="240" w:lineRule="auto"/>
        <w:rPr>
          <w:rFonts w:ascii="Gadugi" w:eastAsia="Times New Roman" w:hAnsi="Gadugi" w:cs="Times New Roman"/>
          <w:color w:val="002060"/>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8"/>
        <w:gridCol w:w="4575"/>
      </w:tblGrid>
      <w:tr w:rsidR="00ED08F4" w:rsidRPr="00ED08F4" w:rsidTr="00ED08F4">
        <w:trPr>
          <w:tblCellSpacing w:w="15" w:type="dxa"/>
        </w:trPr>
        <w:tc>
          <w:tcPr>
            <w:tcW w:w="0" w:type="auto"/>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b/>
                <w:bCs/>
                <w:color w:val="002060"/>
                <w:sz w:val="24"/>
                <w:szCs w:val="24"/>
                <w:lang w:eastAsia="fr-FR"/>
              </w:rPr>
              <w:t>Mots-clés :</w:t>
            </w:r>
            <w:r w:rsidRPr="00ED08F4">
              <w:rPr>
                <w:rFonts w:ascii="Gadugi" w:eastAsia="Times New Roman" w:hAnsi="Gadugi" w:cs="Times New Roman"/>
                <w:color w:val="002060"/>
                <w:sz w:val="24"/>
                <w:szCs w:val="24"/>
                <w:lang w:eastAsia="fr-FR"/>
              </w:rPr>
              <w:t xml:space="preserve"> </w:t>
            </w:r>
          </w:p>
        </w:tc>
        <w:tc>
          <w:tcPr>
            <w:tcW w:w="0" w:type="auto"/>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color w:val="002060"/>
                <w:sz w:val="24"/>
                <w:szCs w:val="24"/>
                <w:lang w:eastAsia="fr-FR"/>
              </w:rPr>
              <w:t>antibiotique,hémisynthèse,dosage,isotope,</w:t>
            </w:r>
          </w:p>
        </w:tc>
      </w:tr>
    </w:tbl>
    <w:p w:rsidR="00ED08F4" w:rsidRPr="00ED08F4" w:rsidRDefault="00ED08F4" w:rsidP="00ED08F4">
      <w:pPr>
        <w:spacing w:after="0" w:line="240" w:lineRule="auto"/>
        <w:rPr>
          <w:rFonts w:ascii="Gadugi" w:eastAsia="Times New Roman" w:hAnsi="Gadugi" w:cs="Times New Roman"/>
          <w:color w:val="002060"/>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ED08F4" w:rsidRPr="00ED08F4" w:rsidTr="00ED08F4">
        <w:trPr>
          <w:tblCellSpacing w:w="15" w:type="dxa"/>
        </w:trPr>
        <w:tc>
          <w:tcPr>
            <w:tcW w:w="0" w:type="auto"/>
            <w:vAlign w:val="center"/>
            <w:hideMark/>
          </w:tcPr>
          <w:p w:rsidR="00ED08F4" w:rsidRPr="00ED08F4" w:rsidRDefault="00ED08F4" w:rsidP="00ED08F4">
            <w:pPr>
              <w:spacing w:after="0" w:line="240" w:lineRule="auto"/>
              <w:rPr>
                <w:rFonts w:ascii="Gadugi" w:eastAsia="Times New Roman" w:hAnsi="Gadugi" w:cs="Times New Roman"/>
                <w:color w:val="002060"/>
                <w:sz w:val="24"/>
                <w:szCs w:val="24"/>
                <w:lang w:eastAsia="fr-FR"/>
              </w:rPr>
            </w:pPr>
            <w:r w:rsidRPr="00ED08F4">
              <w:rPr>
                <w:rFonts w:ascii="Gadugi" w:eastAsia="Times New Roman" w:hAnsi="Gadugi" w:cs="Times New Roman"/>
                <w:b/>
                <w:bCs/>
                <w:color w:val="002060"/>
                <w:sz w:val="24"/>
                <w:szCs w:val="24"/>
                <w:lang w:eastAsia="fr-FR"/>
              </w:rPr>
              <w:t>Résumé :</w:t>
            </w:r>
            <w:r w:rsidRPr="00ED08F4">
              <w:rPr>
                <w:rFonts w:ascii="Gadugi" w:eastAsia="Times New Roman" w:hAnsi="Gadugi" w:cs="Times New Roman"/>
                <w:color w:val="002060"/>
                <w:sz w:val="24"/>
                <w:szCs w:val="24"/>
                <w:lang w:eastAsia="fr-FR"/>
              </w:rPr>
              <w:t xml:space="preserve">  </w:t>
            </w:r>
            <w:bookmarkStart w:id="0" w:name="_GoBack"/>
            <w:bookmarkEnd w:id="0"/>
          </w:p>
        </w:tc>
      </w:tr>
      <w:tr w:rsidR="00ED08F4" w:rsidRPr="00ED08F4" w:rsidTr="00ED08F4">
        <w:trPr>
          <w:tblCellSpacing w:w="15" w:type="dxa"/>
        </w:trPr>
        <w:tc>
          <w:tcPr>
            <w:tcW w:w="0" w:type="auto"/>
            <w:vAlign w:val="center"/>
            <w:hideMark/>
          </w:tcPr>
          <w:p w:rsidR="00ED08F4" w:rsidRPr="003B0820" w:rsidRDefault="00ED08F4" w:rsidP="00ED08F4">
            <w:pPr>
              <w:spacing w:after="0" w:line="240" w:lineRule="auto"/>
              <w:jc w:val="both"/>
              <w:rPr>
                <w:rFonts w:eastAsia="Times New Roman" w:cstheme="minorHAnsi"/>
                <w:color w:val="002060"/>
                <w:lang w:eastAsia="fr-FR"/>
              </w:rPr>
            </w:pPr>
            <w:r w:rsidRPr="003B0820">
              <w:rPr>
                <w:rFonts w:eastAsia="Times New Roman" w:cstheme="minorHAnsi"/>
                <w:color w:val="002060"/>
                <w:lang w:eastAsia="fr-FR"/>
              </w:rPr>
              <w:t xml:space="preserve">Selon plusieurs communiqués de l’OMS, la résistance aux antibiotiques constitue aujourd’hui l’une des plus graves menaces pesant sur la santé mondiale et la sécurité alimentaire. S’il est crucial d’accroitre la recherche et le développement de nouveaux antibiotiques, cela ne résoudra pas ce problème de résistance. Pour combattre celle-ci il faut améliorer la prévention des infections, notamment par l’usage approprié des antibiotiques. L’une des solutions est la mise en place d’un suivi thérapeutique afin d’obtenir une posologie adaptée à chaque patient et non plus une posologie universelle. En effet, ce suivi thérapeutique permet de réguler la concentration d’un antibiotique spécifique à des intervalles de temps et ainsi maintenir une quantité constante et </w:t>
            </w:r>
            <w:r w:rsidR="003B0820" w:rsidRPr="003B0820">
              <w:rPr>
                <w:rFonts w:eastAsia="Times New Roman" w:cstheme="minorHAnsi"/>
                <w:color w:val="002060"/>
                <w:lang w:eastAsia="fr-FR"/>
              </w:rPr>
              <w:t>efficace pour chaque patient. A</w:t>
            </w:r>
            <w:r w:rsidRPr="003B0820">
              <w:rPr>
                <w:rFonts w:eastAsia="Times New Roman" w:cstheme="minorHAnsi"/>
                <w:color w:val="002060"/>
                <w:lang w:eastAsia="fr-FR"/>
              </w:rPr>
              <w:t>fin de déterminer la concentration d’antibiotique chez le patient le dosage par dilution isotopique a été retenu. Pour le développer cette méthode des standards marqués avec des isotopes stables doivent être synthétiser. Dans ce projet une famille d’antibiotique, les aminoglycosides ont été ciblés dont notamment la Tobramycine et l’Amikacine. Une approche par hémisynthèse a été étudiée et développée, ce qui a permis la synthèse de la Tobramycine marquée.</w:t>
            </w:r>
          </w:p>
        </w:tc>
      </w:tr>
    </w:tbl>
    <w:p w:rsidR="006818D9" w:rsidRPr="00ED08F4" w:rsidRDefault="006818D9" w:rsidP="00ED08F4">
      <w:pPr>
        <w:jc w:val="center"/>
        <w:rPr>
          <w:rFonts w:ascii="Gadugi" w:hAnsi="Gadugi"/>
          <w:color w:val="002060"/>
        </w:rPr>
      </w:pPr>
    </w:p>
    <w:sectPr w:rsidR="006818D9" w:rsidRPr="00ED08F4"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FDF" w:rsidRDefault="00530FDF" w:rsidP="006E3318">
      <w:pPr>
        <w:spacing w:after="0" w:line="240" w:lineRule="auto"/>
      </w:pPr>
      <w:r>
        <w:separator/>
      </w:r>
    </w:p>
  </w:endnote>
  <w:endnote w:type="continuationSeparator" w:id="0">
    <w:p w:rsidR="00530FDF" w:rsidRDefault="00530FDF"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FDF" w:rsidRDefault="00530FDF" w:rsidP="006E3318">
      <w:pPr>
        <w:spacing w:after="0" w:line="240" w:lineRule="auto"/>
      </w:pPr>
      <w:r>
        <w:separator/>
      </w:r>
    </w:p>
  </w:footnote>
  <w:footnote w:type="continuationSeparator" w:id="0">
    <w:p w:rsidR="00530FDF" w:rsidRDefault="00530FDF"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243719"/>
    <w:rsid w:val="00280B53"/>
    <w:rsid w:val="002E02D3"/>
    <w:rsid w:val="003B0820"/>
    <w:rsid w:val="003B256B"/>
    <w:rsid w:val="00530FDF"/>
    <w:rsid w:val="006818D9"/>
    <w:rsid w:val="006E3318"/>
    <w:rsid w:val="007E7721"/>
    <w:rsid w:val="00A33447"/>
    <w:rsid w:val="00A72F55"/>
    <w:rsid w:val="00C15103"/>
    <w:rsid w:val="00ED0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6F7B"/>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18208">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53FA-A580-4DD9-8F28-F433D2BC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dcterms:created xsi:type="dcterms:W3CDTF">2022-09-26T14:43:00Z</dcterms:created>
  <dcterms:modified xsi:type="dcterms:W3CDTF">2022-09-26T14:43:00Z</dcterms:modified>
</cp:coreProperties>
</file>