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18" w:rsidRDefault="006E3318" w:rsidP="006E3318">
      <w:pPr>
        <w:spacing w:after="0" w:line="240" w:lineRule="auto"/>
        <w:rPr>
          <w:rFonts w:ascii="Gadugi" w:eastAsia="Times New Roman" w:hAnsi="Gadugi" w:cs="Times New Roman"/>
          <w:b/>
          <w:bCs/>
          <w:noProof/>
          <w:sz w:val="30"/>
          <w:szCs w:val="30"/>
          <w:lang w:eastAsia="fr-FR"/>
        </w:rPr>
      </w:pPr>
      <w:r>
        <w:rPr>
          <w:rFonts w:ascii="Gadugi" w:eastAsia="Times New Roman" w:hAnsi="Gadugi" w:cs="Times New Roman"/>
          <w:b/>
          <w:bCs/>
          <w:noProof/>
          <w:sz w:val="30"/>
          <w:szCs w:val="30"/>
          <w:lang w:eastAsia="fr-FR"/>
        </w:rPr>
        <w:drawing>
          <wp:inline distT="0" distB="0" distL="0" distR="0">
            <wp:extent cx="1035050" cy="7455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O_sept2021_bleu_gris_0.png"/>
                    <pic:cNvPicPr/>
                  </pic:nvPicPr>
                  <pic:blipFill>
                    <a:blip r:embed="rId7">
                      <a:extLst>
                        <a:ext uri="{28A0092B-C50C-407E-A947-70E740481C1C}">
                          <a14:useLocalDpi xmlns:a14="http://schemas.microsoft.com/office/drawing/2010/main" val="0"/>
                        </a:ext>
                      </a:extLst>
                    </a:blip>
                    <a:stretch>
                      <a:fillRect/>
                    </a:stretch>
                  </pic:blipFill>
                  <pic:spPr>
                    <a:xfrm>
                      <a:off x="0" y="0"/>
                      <a:ext cx="1092403" cy="786901"/>
                    </a:xfrm>
                    <a:prstGeom prst="rect">
                      <a:avLst/>
                    </a:prstGeom>
                  </pic:spPr>
                </pic:pic>
              </a:graphicData>
            </a:graphic>
          </wp:inline>
        </w:drawing>
      </w:r>
      <w:r>
        <w:rPr>
          <w:rFonts w:ascii="Gadugi" w:eastAsia="Times New Roman" w:hAnsi="Gadugi" w:cs="Times New Roman"/>
          <w:b/>
          <w:bCs/>
          <w:color w:val="002060"/>
          <w:sz w:val="30"/>
          <w:szCs w:val="30"/>
          <w:lang w:eastAsia="fr-FR"/>
        </w:rPr>
        <w:t xml:space="preserve">                      </w:t>
      </w:r>
      <w:r w:rsidR="00280B53">
        <w:rPr>
          <w:rFonts w:ascii="Gadugi" w:eastAsia="Times New Roman" w:hAnsi="Gadugi" w:cs="Times New Roman"/>
          <w:b/>
          <w:bCs/>
          <w:color w:val="002060"/>
          <w:sz w:val="30"/>
          <w:szCs w:val="30"/>
          <w:lang w:eastAsia="fr-FR"/>
        </w:rPr>
        <w:t xml:space="preserve">     </w:t>
      </w:r>
      <w:r>
        <w:rPr>
          <w:rFonts w:ascii="Gadugi" w:eastAsia="Times New Roman" w:hAnsi="Gadugi" w:cs="Times New Roman"/>
          <w:b/>
          <w:bCs/>
          <w:color w:val="002060"/>
          <w:sz w:val="30"/>
          <w:szCs w:val="30"/>
          <w:lang w:eastAsia="fr-FR"/>
        </w:rPr>
        <w:t xml:space="preserve"> </w:t>
      </w:r>
      <w:r w:rsidR="00A72F55">
        <w:rPr>
          <w:rFonts w:ascii="Gadugi" w:eastAsia="Times New Roman" w:hAnsi="Gadugi" w:cs="Times New Roman"/>
          <w:b/>
          <w:bCs/>
          <w:color w:val="002060"/>
          <w:sz w:val="30"/>
          <w:szCs w:val="30"/>
          <w:lang w:eastAsia="fr-FR"/>
        </w:rPr>
        <w:tab/>
      </w:r>
      <w:r w:rsidRPr="006E3318">
        <w:rPr>
          <w:rFonts w:ascii="Gadugi" w:eastAsia="Times New Roman" w:hAnsi="Gadugi" w:cs="Times New Roman"/>
          <w:b/>
          <w:bCs/>
          <w:color w:val="002060"/>
          <w:sz w:val="30"/>
          <w:szCs w:val="30"/>
          <w:lang w:eastAsia="fr-FR"/>
        </w:rPr>
        <w:t>Avis de Soutenance</w:t>
      </w:r>
    </w:p>
    <w:p w:rsidR="00A67249" w:rsidRPr="00A67249" w:rsidRDefault="006E3318" w:rsidP="00A67249">
      <w:pPr>
        <w:spacing w:after="0" w:line="240" w:lineRule="auto"/>
        <w:jc w:val="center"/>
        <w:rPr>
          <w:rFonts w:eastAsia="Times New Roman" w:cstheme="minorHAnsi"/>
          <w:color w:val="002060"/>
          <w:sz w:val="24"/>
          <w:szCs w:val="24"/>
          <w:lang w:eastAsia="fr-FR"/>
        </w:rPr>
      </w:pPr>
      <w:r w:rsidRPr="00A33447">
        <w:rPr>
          <w:rFonts w:ascii="Gadugi" w:eastAsia="Times New Roman" w:hAnsi="Gadugi" w:cs="Times New Roman"/>
          <w:color w:val="002060"/>
          <w:sz w:val="16"/>
          <w:szCs w:val="16"/>
          <w:lang w:eastAsia="fr-FR"/>
        </w:rPr>
        <w:br/>
      </w:r>
      <w:r w:rsidR="00A67249" w:rsidRPr="00A67249">
        <w:rPr>
          <w:rFonts w:eastAsia="Times New Roman" w:cstheme="minorHAnsi"/>
          <w:color w:val="002060"/>
          <w:sz w:val="30"/>
          <w:szCs w:val="30"/>
          <w:lang w:eastAsia="fr-FR"/>
        </w:rPr>
        <w:t>Monsieur Jérémy MAGAND</w:t>
      </w:r>
      <w:r w:rsidR="00A67249" w:rsidRPr="00A67249">
        <w:rPr>
          <w:rFonts w:eastAsia="Times New Roman" w:cstheme="minorHAnsi"/>
          <w:color w:val="002060"/>
          <w:sz w:val="24"/>
          <w:szCs w:val="24"/>
          <w:lang w:eastAsia="fr-FR"/>
        </w:rPr>
        <w:br/>
      </w:r>
      <w:r w:rsidR="00A67249" w:rsidRPr="00A67249">
        <w:rPr>
          <w:rFonts w:eastAsia="Times New Roman" w:cstheme="minorHAnsi"/>
          <w:color w:val="002060"/>
          <w:sz w:val="24"/>
          <w:szCs w:val="24"/>
          <w:lang w:eastAsia="fr-FR"/>
        </w:rPr>
        <w:br/>
      </w:r>
      <w:r w:rsidR="00A67249" w:rsidRPr="00A67249">
        <w:rPr>
          <w:rFonts w:eastAsia="Times New Roman" w:cstheme="minorHAnsi"/>
          <w:color w:val="002060"/>
          <w:sz w:val="28"/>
          <w:szCs w:val="28"/>
          <w:lang w:eastAsia="fr-FR"/>
        </w:rPr>
        <w:t>Chimie</w:t>
      </w:r>
      <w:r w:rsidR="00A67249" w:rsidRPr="00A67249">
        <w:rPr>
          <w:rFonts w:eastAsia="Times New Roman" w:cstheme="minorHAnsi"/>
          <w:color w:val="002060"/>
          <w:sz w:val="24"/>
          <w:szCs w:val="24"/>
          <w:lang w:eastAsia="fr-FR"/>
        </w:rPr>
        <w:t xml:space="preserve"> </w:t>
      </w:r>
      <w:r w:rsidR="00A67249" w:rsidRPr="00A67249">
        <w:rPr>
          <w:rFonts w:eastAsia="Times New Roman" w:cstheme="minorHAnsi"/>
          <w:color w:val="002060"/>
          <w:sz w:val="24"/>
          <w:szCs w:val="24"/>
          <w:lang w:eastAsia="fr-FR"/>
        </w:rPr>
        <w:br/>
      </w:r>
      <w:r w:rsidR="00A67249" w:rsidRPr="00A67249">
        <w:rPr>
          <w:rFonts w:eastAsia="Times New Roman" w:cstheme="minorHAnsi"/>
          <w:color w:val="002060"/>
          <w:sz w:val="24"/>
          <w:szCs w:val="24"/>
          <w:lang w:eastAsia="fr-FR"/>
        </w:rPr>
        <w:br/>
        <w:t>Soutiendra à huis clos ses travaux de thèse intitulés</w:t>
      </w:r>
      <w:r w:rsidR="00A67249" w:rsidRPr="00A67249">
        <w:rPr>
          <w:rFonts w:eastAsia="Times New Roman" w:cstheme="minorHAnsi"/>
          <w:color w:val="002060"/>
          <w:sz w:val="24"/>
          <w:szCs w:val="24"/>
          <w:lang w:eastAsia="fr-FR"/>
        </w:rPr>
        <w:br/>
      </w:r>
      <w:r w:rsidR="00A67249" w:rsidRPr="00A67249">
        <w:rPr>
          <w:rFonts w:eastAsia="Times New Roman" w:cstheme="minorHAnsi"/>
          <w:color w:val="002060"/>
          <w:sz w:val="24"/>
          <w:szCs w:val="24"/>
          <w:lang w:eastAsia="fr-FR"/>
        </w:rPr>
        <w:br/>
      </w:r>
      <w:r w:rsidR="00A67249" w:rsidRPr="00A67249">
        <w:rPr>
          <w:rFonts w:eastAsia="Times New Roman" w:cstheme="minorHAnsi"/>
          <w:i/>
          <w:iCs/>
          <w:color w:val="002060"/>
          <w:sz w:val="24"/>
          <w:szCs w:val="24"/>
          <w:lang w:eastAsia="fr-FR"/>
        </w:rPr>
        <w:t>Synthèse de dinucléotides cycliques et d’hétérocycles visant la protéine STING et étude sur la réponse immunitaire innée</w:t>
      </w:r>
      <w:r w:rsidR="00A67249" w:rsidRPr="00A67249">
        <w:rPr>
          <w:rFonts w:eastAsia="Times New Roman" w:cstheme="minorHAnsi"/>
          <w:color w:val="002060"/>
          <w:sz w:val="24"/>
          <w:szCs w:val="24"/>
          <w:lang w:eastAsia="fr-FR"/>
        </w:rPr>
        <w:t xml:space="preserve"> </w:t>
      </w:r>
      <w:r w:rsidR="00A67249" w:rsidRPr="00A67249">
        <w:rPr>
          <w:rFonts w:eastAsia="Times New Roman" w:cstheme="minorHAnsi"/>
          <w:color w:val="002060"/>
          <w:sz w:val="24"/>
          <w:szCs w:val="24"/>
          <w:lang w:eastAsia="fr-FR"/>
        </w:rPr>
        <w:br/>
      </w:r>
      <w:r w:rsidR="00A67249" w:rsidRPr="00A67249">
        <w:rPr>
          <w:rFonts w:eastAsia="Times New Roman" w:cstheme="minorHAnsi"/>
          <w:color w:val="002060"/>
          <w:sz w:val="24"/>
          <w:szCs w:val="24"/>
          <w:lang w:eastAsia="fr-FR"/>
        </w:rPr>
        <w:br/>
        <w:t xml:space="preserve">dirigés par Monsieur Luigi AGROFOGLIO et Monsieur Vincent ROY </w:t>
      </w:r>
    </w:p>
    <w:p w:rsidR="00A67249" w:rsidRPr="00A67249" w:rsidRDefault="00A67249" w:rsidP="00A67249">
      <w:pPr>
        <w:spacing w:after="0" w:line="240" w:lineRule="auto"/>
        <w:jc w:val="center"/>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Ecole doctorale : Santé, Sciences Biologiques et Chimie du Vivant - SSBCV </w:t>
      </w:r>
      <w:r w:rsidRPr="00A67249">
        <w:rPr>
          <w:rFonts w:eastAsia="Times New Roman" w:cstheme="minorHAnsi"/>
          <w:color w:val="002060"/>
          <w:sz w:val="24"/>
          <w:szCs w:val="24"/>
          <w:lang w:eastAsia="fr-FR"/>
        </w:rPr>
        <w:br/>
        <w:t>Unité de recherche : ICOA - Institut de Chimie Organique et Analytique</w:t>
      </w:r>
    </w:p>
    <w:p w:rsidR="00A67249" w:rsidRPr="00A67249" w:rsidRDefault="00A67249" w:rsidP="00A67249">
      <w:pPr>
        <w:spacing w:after="0" w:line="240" w:lineRule="auto"/>
        <w:jc w:val="center"/>
        <w:rPr>
          <w:rFonts w:eastAsia="Times New Roman" w:cstheme="minorHAnsi"/>
          <w:color w:val="002060"/>
          <w:sz w:val="24"/>
          <w:szCs w:val="24"/>
          <w:lang w:eastAsia="fr-FR"/>
        </w:rPr>
      </w:pPr>
      <w:r w:rsidRPr="00A67249">
        <w:rPr>
          <w:rFonts w:eastAsia="Times New Roman" w:cstheme="minorHAnsi"/>
          <w:color w:val="002060"/>
          <w:sz w:val="24"/>
          <w:szCs w:val="24"/>
          <w:lang w:eastAsia="fr-FR"/>
        </w:rPr>
        <w:br/>
        <w:t xml:space="preserve">Soutenance prévue le </w:t>
      </w:r>
      <w:r w:rsidRPr="00A67249">
        <w:rPr>
          <w:rFonts w:eastAsia="Times New Roman" w:cstheme="minorHAnsi"/>
          <w:b/>
          <w:bCs/>
          <w:i/>
          <w:iCs/>
          <w:color w:val="002060"/>
          <w:sz w:val="24"/>
          <w:szCs w:val="24"/>
          <w:lang w:eastAsia="fr-FR"/>
        </w:rPr>
        <w:t xml:space="preserve">mardi 28 février 2023 </w:t>
      </w:r>
      <w:r w:rsidRPr="00A67249">
        <w:rPr>
          <w:rFonts w:eastAsia="Times New Roman" w:cstheme="minorHAnsi"/>
          <w:color w:val="002060"/>
          <w:sz w:val="24"/>
          <w:szCs w:val="24"/>
          <w:lang w:eastAsia="fr-FR"/>
        </w:rPr>
        <w:t>à 13h45</w:t>
      </w:r>
      <w:r w:rsidRPr="00A67249">
        <w:rPr>
          <w:rFonts w:eastAsia="Times New Roman" w:cstheme="minorHAnsi"/>
          <w:color w:val="002060"/>
          <w:sz w:val="24"/>
          <w:szCs w:val="24"/>
          <w:lang w:eastAsia="fr-FR"/>
        </w:rPr>
        <w:br/>
        <w:t xml:space="preserve">Lieu :   Polytech'Orléans, site Galilée, 12 Rue de Blois, 45100 Orléans </w:t>
      </w:r>
      <w:r w:rsidRPr="00A67249">
        <w:rPr>
          <w:rFonts w:eastAsia="Times New Roman" w:cstheme="minorHAnsi"/>
          <w:color w:val="002060"/>
          <w:sz w:val="24"/>
          <w:szCs w:val="24"/>
          <w:lang w:eastAsia="fr-FR"/>
        </w:rPr>
        <w:br/>
        <w:t xml:space="preserve">Salle : amphithéâtre TURING </w:t>
      </w:r>
      <w:r w:rsidRPr="00A67249">
        <w:rPr>
          <w:rFonts w:eastAsia="Times New Roman" w:cstheme="minorHAnsi"/>
          <w:color w:val="002060"/>
          <w:sz w:val="24"/>
          <w:szCs w:val="24"/>
          <w:lang w:eastAsia="fr-FR"/>
        </w:rPr>
        <w:br/>
      </w:r>
      <w:r w:rsidRPr="00A67249">
        <w:rPr>
          <w:rFonts w:eastAsia="Times New Roman" w:cstheme="minorHAnsi"/>
          <w:color w:val="002060"/>
          <w:sz w:val="24"/>
          <w:szCs w:val="24"/>
          <w:lang w:eastAsia="fr-FR"/>
        </w:rPr>
        <w:br/>
      </w:r>
      <w:r w:rsidRPr="00A67249">
        <w:rPr>
          <w:rFonts w:eastAsia="Times New Roman" w:cstheme="minorHAnsi"/>
          <w:b/>
          <w:bCs/>
          <w:color w:val="002060"/>
          <w:sz w:val="24"/>
          <w:szCs w:val="24"/>
          <w:lang w:eastAsia="fr-FR"/>
        </w:rPr>
        <w:t xml:space="preserve">Composition du jury proposé </w:t>
      </w:r>
    </w:p>
    <w:tbl>
      <w:tblPr>
        <w:tblW w:w="5000" w:type="pct"/>
        <w:tblCellSpacing w:w="15" w:type="dxa"/>
        <w:tblCellMar>
          <w:top w:w="20" w:type="dxa"/>
          <w:left w:w="20" w:type="dxa"/>
          <w:bottom w:w="20" w:type="dxa"/>
          <w:right w:w="20" w:type="dxa"/>
        </w:tblCellMar>
        <w:tblLook w:val="04A0" w:firstRow="1" w:lastRow="0" w:firstColumn="1" w:lastColumn="0" w:noHBand="0" w:noVBand="1"/>
      </w:tblPr>
      <w:tblGrid>
        <w:gridCol w:w="2705"/>
        <w:gridCol w:w="6436"/>
        <w:gridCol w:w="1857"/>
      </w:tblGrid>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 Luigi </w:t>
            </w:r>
            <w:r w:rsidRPr="00A67249">
              <w:rPr>
                <w:rFonts w:eastAsia="Times New Roman" w:cstheme="minorHAnsi"/>
                <w:caps/>
                <w:color w:val="002060"/>
                <w:sz w:val="24"/>
                <w:szCs w:val="24"/>
                <w:lang w:eastAsia="fr-FR"/>
              </w:rPr>
              <w:t>AGROFOGLIO</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ICOA-Université d'Orléans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Directeur de thèse </w:t>
            </w:r>
          </w:p>
        </w:tc>
      </w:tr>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 Jacques </w:t>
            </w:r>
            <w:r w:rsidRPr="00A67249">
              <w:rPr>
                <w:rFonts w:eastAsia="Times New Roman" w:cstheme="minorHAnsi"/>
                <w:caps/>
                <w:color w:val="002060"/>
                <w:sz w:val="24"/>
                <w:szCs w:val="24"/>
                <w:lang w:eastAsia="fr-FR"/>
              </w:rPr>
              <w:t>LEBRETON</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Université de Nantes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Rapporteur </w:t>
            </w:r>
          </w:p>
        </w:tc>
      </w:tr>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Mme Nadège </w:t>
            </w:r>
            <w:r w:rsidRPr="00A67249">
              <w:rPr>
                <w:rFonts w:eastAsia="Times New Roman" w:cstheme="minorHAnsi"/>
                <w:caps/>
                <w:color w:val="002060"/>
                <w:sz w:val="24"/>
                <w:szCs w:val="24"/>
                <w:lang w:eastAsia="fr-FR"/>
              </w:rPr>
              <w:t>LUBIN-GERMAIN</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Laboratoire BioCIS- Université Cergy Pontoise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Rapporteure </w:t>
            </w:r>
          </w:p>
        </w:tc>
      </w:tr>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Mme Julie </w:t>
            </w:r>
            <w:r w:rsidRPr="00A67249">
              <w:rPr>
                <w:rFonts w:eastAsia="Times New Roman" w:cstheme="minorHAnsi"/>
                <w:caps/>
                <w:color w:val="002060"/>
                <w:sz w:val="24"/>
                <w:szCs w:val="24"/>
                <w:lang w:eastAsia="fr-FR"/>
              </w:rPr>
              <w:t>BROGGI</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Institut de Chimie Radicalaire (IRC)- Université Aix-Marseille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Examinatrice </w:t>
            </w:r>
          </w:p>
        </w:tc>
      </w:tr>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Mme Valérie </w:t>
            </w:r>
            <w:r w:rsidRPr="00A67249">
              <w:rPr>
                <w:rFonts w:eastAsia="Times New Roman" w:cstheme="minorHAnsi"/>
                <w:caps/>
                <w:color w:val="002060"/>
                <w:sz w:val="24"/>
                <w:szCs w:val="24"/>
                <w:lang w:eastAsia="fr-FR"/>
              </w:rPr>
              <w:t>QUESNIAUX</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UMR7355 Immunologie et Neurogénétique Expérimentales et Moléculaires (INEM)- CNRS Orléans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Examinatrice </w:t>
            </w:r>
          </w:p>
        </w:tc>
      </w:tr>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M. Vincent </w:t>
            </w:r>
            <w:r w:rsidRPr="00A67249">
              <w:rPr>
                <w:rFonts w:eastAsia="Times New Roman" w:cstheme="minorHAnsi"/>
                <w:caps/>
                <w:color w:val="002060"/>
                <w:sz w:val="24"/>
                <w:szCs w:val="24"/>
                <w:lang w:eastAsia="fr-FR"/>
              </w:rPr>
              <w:t>ROY</w:t>
            </w:r>
            <w:r w:rsidRPr="00A67249">
              <w:rPr>
                <w:rFonts w:eastAsia="Times New Roman" w:cstheme="minorHAnsi"/>
                <w:color w:val="002060"/>
                <w:sz w:val="24"/>
                <w:szCs w:val="24"/>
                <w:lang w:eastAsia="fr-FR"/>
              </w:rPr>
              <w:t>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ICOA-Université d'Orléans </w:t>
            </w:r>
          </w:p>
        </w:tc>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 xml:space="preserve">Co-directeur de thèse </w:t>
            </w:r>
          </w:p>
        </w:tc>
      </w:tr>
    </w:tbl>
    <w:p w:rsidR="00A67249" w:rsidRPr="00A67249" w:rsidRDefault="00A67249" w:rsidP="00A67249">
      <w:pPr>
        <w:spacing w:after="0" w:line="240" w:lineRule="auto"/>
        <w:rPr>
          <w:rFonts w:eastAsia="Times New Roman" w:cstheme="minorHAnsi"/>
          <w:color w:val="002060"/>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
        <w:gridCol w:w="9912"/>
      </w:tblGrid>
      <w:tr w:rsidR="00A67249" w:rsidRPr="00A67249" w:rsidTr="00A67249">
        <w:trPr>
          <w:tblCellSpacing w:w="15" w:type="dxa"/>
        </w:trPr>
        <w:tc>
          <w:tcPr>
            <w:tcW w:w="0" w:type="auto"/>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b/>
                <w:bCs/>
                <w:color w:val="002060"/>
                <w:sz w:val="24"/>
                <w:szCs w:val="24"/>
                <w:lang w:eastAsia="fr-FR"/>
              </w:rPr>
              <w:t>Mots-clés :</w:t>
            </w:r>
            <w:r w:rsidRPr="00A67249">
              <w:rPr>
                <w:rFonts w:eastAsia="Times New Roman" w:cstheme="minorHAnsi"/>
                <w:color w:val="002060"/>
                <w:sz w:val="24"/>
                <w:szCs w:val="24"/>
                <w:lang w:eastAsia="fr-FR"/>
              </w:rPr>
              <w:t xml:space="preserve"> </w:t>
            </w:r>
          </w:p>
        </w:tc>
        <w:tc>
          <w:tcPr>
            <w:tcW w:w="0" w:type="auto"/>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color w:val="002060"/>
                <w:sz w:val="24"/>
                <w:szCs w:val="24"/>
                <w:lang w:eastAsia="fr-FR"/>
              </w:rPr>
              <w:t>dinucléotides cycliques,antiviral,immunothérapie,ligands de STING,oxazolo[5.4-d]pyrimidine,1H-benzimidazole,</w:t>
            </w:r>
          </w:p>
        </w:tc>
      </w:tr>
    </w:tbl>
    <w:p w:rsidR="00A67249" w:rsidRPr="00A67249" w:rsidRDefault="00A67249" w:rsidP="00A67249">
      <w:pPr>
        <w:spacing w:after="0" w:line="240" w:lineRule="auto"/>
        <w:rPr>
          <w:rFonts w:eastAsia="Times New Roman" w:cstheme="minorHAnsi"/>
          <w:color w:val="002060"/>
          <w:sz w:val="24"/>
          <w:szCs w:val="24"/>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A67249" w:rsidRPr="00A67249" w:rsidTr="00A67249">
        <w:trPr>
          <w:tblCellSpacing w:w="15" w:type="dxa"/>
        </w:trPr>
        <w:tc>
          <w:tcPr>
            <w:tcW w:w="0" w:type="auto"/>
            <w:vAlign w:val="center"/>
            <w:hideMark/>
          </w:tcPr>
          <w:p w:rsidR="00A67249" w:rsidRPr="00A67249" w:rsidRDefault="00A67249" w:rsidP="00A67249">
            <w:pPr>
              <w:spacing w:after="0" w:line="240" w:lineRule="auto"/>
              <w:rPr>
                <w:rFonts w:eastAsia="Times New Roman" w:cstheme="minorHAnsi"/>
                <w:color w:val="002060"/>
                <w:sz w:val="24"/>
                <w:szCs w:val="24"/>
                <w:lang w:eastAsia="fr-FR"/>
              </w:rPr>
            </w:pPr>
            <w:r w:rsidRPr="00A67249">
              <w:rPr>
                <w:rFonts w:eastAsia="Times New Roman" w:cstheme="minorHAnsi"/>
                <w:b/>
                <w:bCs/>
                <w:color w:val="002060"/>
                <w:sz w:val="24"/>
                <w:szCs w:val="24"/>
                <w:lang w:eastAsia="fr-FR"/>
              </w:rPr>
              <w:t>Résumé :</w:t>
            </w:r>
            <w:r w:rsidRPr="00A67249">
              <w:rPr>
                <w:rFonts w:eastAsia="Times New Roman" w:cstheme="minorHAnsi"/>
                <w:color w:val="002060"/>
                <w:sz w:val="24"/>
                <w:szCs w:val="24"/>
                <w:lang w:eastAsia="fr-FR"/>
              </w:rPr>
              <w:t xml:space="preserve">  </w:t>
            </w:r>
            <w:bookmarkStart w:id="0" w:name="_GoBack"/>
            <w:bookmarkEnd w:id="0"/>
          </w:p>
        </w:tc>
      </w:tr>
      <w:tr w:rsidR="00A67249" w:rsidRPr="00A67249" w:rsidTr="00A67249">
        <w:trPr>
          <w:tblCellSpacing w:w="15" w:type="dxa"/>
        </w:trPr>
        <w:tc>
          <w:tcPr>
            <w:tcW w:w="0" w:type="auto"/>
            <w:vAlign w:val="center"/>
            <w:hideMark/>
          </w:tcPr>
          <w:p w:rsidR="00A67249" w:rsidRPr="00A6518F" w:rsidRDefault="00A67249" w:rsidP="00A67249">
            <w:pPr>
              <w:spacing w:after="0" w:line="240" w:lineRule="auto"/>
              <w:jc w:val="both"/>
              <w:rPr>
                <w:rFonts w:eastAsia="Times New Roman" w:cstheme="minorHAnsi"/>
                <w:color w:val="002060"/>
                <w:lang w:eastAsia="fr-FR"/>
              </w:rPr>
            </w:pPr>
            <w:r w:rsidRPr="00A6518F">
              <w:rPr>
                <w:rFonts w:eastAsia="Times New Roman" w:cstheme="minorHAnsi"/>
                <w:color w:val="002060"/>
                <w:lang w:eastAsia="fr-FR"/>
              </w:rPr>
              <w:t>La protéine STING est une protéine unique et essentielle de la voie de signalisation cGAS-STING. Sa modulation est impliquée dans l'immunité innée et STING est considéré comme une nouvelle cible thérapeutique attractive pour traiter diverses pathologies (dont infections et cancers). Le dinucléotide cyclique (CDN) endogène est le 2',3'-GMP-AMP (cGAMP), qui possède une activité agoniste de STING. Cependant, certaines limitations du cGAMP (instabilité enzymatique, liaisons ionisables, faible pénétration cellulaire, etc), font de la recherche de nouveaux analogues de CDNs ciblant la protéine STING, une priorité. Par ailleurs, plusieurs composés hétérocycliques sont capables de se lier à STING et de moduler la réponse immunitaire. Ainsi, nous rapportons la synthèse (1) de nouveaux CDNs portant un fragment 1,2,3-triazole et une chaîne insaturée comme liaisons internucléotidiques et (2) celle de petites banques de molécules portant un noyau 1H-benzimidazole ou oxazolo[5,4-d]pyrimidine. Les composés ont été évalués in silico sur la structure cristalline de la protéine STING par des études de docking, in vitro en mesurant le niveau de sécrétion de la chimiokine CXCL10, induite par l'interféron, et par fluorimétrie différentielle à balayage (DSF) pour déterminer leur affinité avec la protéine. Parmi les composés synthétisés, deux d'entre eux présentent une activité biologique prometteuse.</w:t>
            </w:r>
          </w:p>
        </w:tc>
      </w:tr>
    </w:tbl>
    <w:p w:rsidR="006818D9" w:rsidRPr="00AF4DDF" w:rsidRDefault="006818D9" w:rsidP="00A67249">
      <w:pPr>
        <w:jc w:val="center"/>
        <w:rPr>
          <w:rFonts w:ascii="Gadugi" w:hAnsi="Gadugi"/>
          <w:color w:val="2F5496" w:themeColor="accent5" w:themeShade="BF"/>
        </w:rPr>
      </w:pPr>
    </w:p>
    <w:sectPr w:rsidR="006818D9" w:rsidRPr="00AF4DDF" w:rsidSect="002E02D3">
      <w:pgSz w:w="11906" w:h="16838"/>
      <w:pgMar w:top="397"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F25" w:rsidRDefault="001C7F25" w:rsidP="006E3318">
      <w:pPr>
        <w:spacing w:after="0" w:line="240" w:lineRule="auto"/>
      </w:pPr>
      <w:r>
        <w:separator/>
      </w:r>
    </w:p>
  </w:endnote>
  <w:endnote w:type="continuationSeparator" w:id="0">
    <w:p w:rsidR="001C7F25" w:rsidRDefault="001C7F25" w:rsidP="006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F25" w:rsidRDefault="001C7F25" w:rsidP="006E3318">
      <w:pPr>
        <w:spacing w:after="0" w:line="240" w:lineRule="auto"/>
      </w:pPr>
      <w:r>
        <w:separator/>
      </w:r>
    </w:p>
  </w:footnote>
  <w:footnote w:type="continuationSeparator" w:id="0">
    <w:p w:rsidR="001C7F25" w:rsidRDefault="001C7F25" w:rsidP="006E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18"/>
    <w:rsid w:val="00092D5F"/>
    <w:rsid w:val="001C7F25"/>
    <w:rsid w:val="00243719"/>
    <w:rsid w:val="00280B53"/>
    <w:rsid w:val="002B6449"/>
    <w:rsid w:val="002E02D3"/>
    <w:rsid w:val="003B256B"/>
    <w:rsid w:val="00641A6C"/>
    <w:rsid w:val="006818D9"/>
    <w:rsid w:val="006E3318"/>
    <w:rsid w:val="00A33447"/>
    <w:rsid w:val="00A6518F"/>
    <w:rsid w:val="00A67249"/>
    <w:rsid w:val="00A72F55"/>
    <w:rsid w:val="00AF4DDF"/>
    <w:rsid w:val="00C15103"/>
    <w:rsid w:val="00DE1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98A4D4-DEDE-408D-985E-E72FC2B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3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3318"/>
    <w:pPr>
      <w:tabs>
        <w:tab w:val="center" w:pos="4536"/>
        <w:tab w:val="right" w:pos="9072"/>
      </w:tabs>
      <w:spacing w:after="0" w:line="240" w:lineRule="auto"/>
    </w:pPr>
  </w:style>
  <w:style w:type="character" w:customStyle="1" w:styleId="En-tteCar">
    <w:name w:val="En-tête Car"/>
    <w:basedOn w:val="Policepardfaut"/>
    <w:link w:val="En-tte"/>
    <w:uiPriority w:val="99"/>
    <w:rsid w:val="006E3318"/>
  </w:style>
  <w:style w:type="paragraph" w:styleId="Pieddepage">
    <w:name w:val="footer"/>
    <w:basedOn w:val="Normal"/>
    <w:link w:val="PieddepageCar"/>
    <w:uiPriority w:val="99"/>
    <w:unhideWhenUsed/>
    <w:rsid w:val="006E3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10205">
      <w:bodyDiv w:val="1"/>
      <w:marLeft w:val="0"/>
      <w:marRight w:val="0"/>
      <w:marTop w:val="0"/>
      <w:marBottom w:val="0"/>
      <w:divBdr>
        <w:top w:val="none" w:sz="0" w:space="0" w:color="auto"/>
        <w:left w:val="none" w:sz="0" w:space="0" w:color="auto"/>
        <w:bottom w:val="none" w:sz="0" w:space="0" w:color="auto"/>
        <w:right w:val="none" w:sz="0" w:space="0" w:color="auto"/>
      </w:divBdr>
    </w:div>
    <w:div w:id="1049844496">
      <w:bodyDiv w:val="1"/>
      <w:marLeft w:val="0"/>
      <w:marRight w:val="0"/>
      <w:marTop w:val="0"/>
      <w:marBottom w:val="0"/>
      <w:divBdr>
        <w:top w:val="none" w:sz="0" w:space="0" w:color="auto"/>
        <w:left w:val="none" w:sz="0" w:space="0" w:color="auto"/>
        <w:bottom w:val="none" w:sz="0" w:space="0" w:color="auto"/>
        <w:right w:val="none" w:sz="0" w:space="0" w:color="auto"/>
      </w:divBdr>
    </w:div>
    <w:div w:id="1067723578">
      <w:bodyDiv w:val="1"/>
      <w:marLeft w:val="0"/>
      <w:marRight w:val="0"/>
      <w:marTop w:val="0"/>
      <w:marBottom w:val="0"/>
      <w:divBdr>
        <w:top w:val="none" w:sz="0" w:space="0" w:color="auto"/>
        <w:left w:val="none" w:sz="0" w:space="0" w:color="auto"/>
        <w:bottom w:val="none" w:sz="0" w:space="0" w:color="auto"/>
        <w:right w:val="none" w:sz="0" w:space="0" w:color="auto"/>
      </w:divBdr>
    </w:div>
    <w:div w:id="1206599466">
      <w:bodyDiv w:val="1"/>
      <w:marLeft w:val="0"/>
      <w:marRight w:val="0"/>
      <w:marTop w:val="0"/>
      <w:marBottom w:val="0"/>
      <w:divBdr>
        <w:top w:val="none" w:sz="0" w:space="0" w:color="auto"/>
        <w:left w:val="none" w:sz="0" w:space="0" w:color="auto"/>
        <w:bottom w:val="none" w:sz="0" w:space="0" w:color="auto"/>
        <w:right w:val="none" w:sz="0" w:space="0" w:color="auto"/>
      </w:divBdr>
    </w:div>
    <w:div w:id="1649018168">
      <w:bodyDiv w:val="1"/>
      <w:marLeft w:val="0"/>
      <w:marRight w:val="0"/>
      <w:marTop w:val="0"/>
      <w:marBottom w:val="0"/>
      <w:divBdr>
        <w:top w:val="none" w:sz="0" w:space="0" w:color="auto"/>
        <w:left w:val="none" w:sz="0" w:space="0" w:color="auto"/>
        <w:bottom w:val="none" w:sz="0" w:space="0" w:color="auto"/>
        <w:right w:val="none" w:sz="0" w:space="0" w:color="auto"/>
      </w:divBdr>
    </w:div>
    <w:div w:id="19451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E7EC-656C-419F-B6CB-EB179A65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Landais</dc:creator>
  <cp:keywords/>
  <dc:description/>
  <cp:lastModifiedBy>Véronique Grelet</cp:lastModifiedBy>
  <cp:revision>2</cp:revision>
  <cp:lastPrinted>2022-11-17T09:25:00Z</cp:lastPrinted>
  <dcterms:created xsi:type="dcterms:W3CDTF">2023-02-17T13:29:00Z</dcterms:created>
  <dcterms:modified xsi:type="dcterms:W3CDTF">2023-02-17T13:29:00Z</dcterms:modified>
</cp:coreProperties>
</file>