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18" w:rsidRDefault="006E3318" w:rsidP="006E3318">
      <w:pPr>
        <w:spacing w:after="0" w:line="240" w:lineRule="auto"/>
        <w:rPr>
          <w:rFonts w:ascii="Gadugi" w:eastAsia="Times New Roman" w:hAnsi="Gadugi" w:cs="Times New Roman"/>
          <w:b/>
          <w:bCs/>
          <w:noProof/>
          <w:sz w:val="30"/>
          <w:szCs w:val="30"/>
          <w:lang w:eastAsia="fr-FR"/>
        </w:rPr>
      </w:pPr>
      <w:r>
        <w:rPr>
          <w:rFonts w:ascii="Gadugi" w:eastAsia="Times New Roman" w:hAnsi="Gadugi" w:cs="Times New Roman"/>
          <w:b/>
          <w:bCs/>
          <w:noProof/>
          <w:sz w:val="30"/>
          <w:szCs w:val="30"/>
          <w:lang w:eastAsia="fr-FR"/>
        </w:rPr>
        <w:drawing>
          <wp:inline distT="0" distB="0" distL="0" distR="0">
            <wp:extent cx="1035050" cy="7455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O_sept2021_bleu_gris_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403" cy="7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 xml:space="preserve">                      </w:t>
      </w:r>
      <w:r w:rsidR="00280B53"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 xml:space="preserve">     </w:t>
      </w:r>
      <w:r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 xml:space="preserve"> </w:t>
      </w:r>
      <w:r w:rsidR="00A72F55"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ab/>
      </w:r>
      <w:r w:rsidRPr="006E3318"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>Avis de Soutenance</w:t>
      </w:r>
    </w:p>
    <w:p w:rsidR="0046173C" w:rsidRPr="0046173C" w:rsidRDefault="006E3318" w:rsidP="0046173C">
      <w:pPr>
        <w:jc w:val="center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A33447">
        <w:rPr>
          <w:rFonts w:ascii="Gadugi" w:eastAsia="Times New Roman" w:hAnsi="Gadugi" w:cs="Times New Roman"/>
          <w:color w:val="002060"/>
          <w:sz w:val="16"/>
          <w:szCs w:val="16"/>
          <w:lang w:eastAsia="fr-FR"/>
        </w:rPr>
        <w:br/>
      </w:r>
      <w:r w:rsidR="0046173C" w:rsidRPr="0046173C">
        <w:rPr>
          <w:rFonts w:eastAsia="Times New Roman" w:cstheme="minorHAnsi"/>
          <w:color w:val="002060"/>
          <w:sz w:val="30"/>
          <w:szCs w:val="30"/>
          <w:lang w:eastAsia="fr-FR"/>
        </w:rPr>
        <w:t>Madame Liliane MIMOUN</w:t>
      </w:r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</w:r>
      <w:bookmarkStart w:id="0" w:name="_GoBack"/>
      <w:bookmarkEnd w:id="0"/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</w:r>
      <w:r w:rsidR="0046173C" w:rsidRPr="0046173C">
        <w:rPr>
          <w:rFonts w:eastAsia="Times New Roman" w:cstheme="minorHAnsi"/>
          <w:color w:val="002060"/>
          <w:sz w:val="28"/>
          <w:szCs w:val="28"/>
          <w:lang w:eastAsia="fr-FR"/>
        </w:rPr>
        <w:t>Chimie</w:t>
      </w:r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</w:r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  <w:t>Soutiendra à huis clos ses travaux de thèse intitulés</w:t>
      </w:r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</w:r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</w:r>
      <w:r w:rsidR="0046173C" w:rsidRPr="0046173C">
        <w:rPr>
          <w:rFonts w:eastAsia="Times New Roman" w:cstheme="minorHAnsi"/>
          <w:i/>
          <w:iCs/>
          <w:color w:val="002060"/>
          <w:sz w:val="24"/>
          <w:szCs w:val="24"/>
          <w:lang w:eastAsia="fr-FR"/>
        </w:rPr>
        <w:t>Synthèse de nitriles chiraux via une catalyse duale et nouvelle méthodologie de synthèse d’isoquinoleines</w:t>
      </w:r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</w:r>
      <w:r w:rsidR="0046173C"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  <w:t xml:space="preserve">dirigés par Madame Isabelle GILLAIZEAU </w:t>
      </w:r>
    </w:p>
    <w:p w:rsidR="0046173C" w:rsidRPr="0046173C" w:rsidRDefault="0046173C" w:rsidP="0046173C">
      <w:pPr>
        <w:spacing w:before="100" w:beforeAutospacing="1" w:after="0" w:line="240" w:lineRule="auto"/>
        <w:jc w:val="center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46173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Ecole doctorale : Santé, Sciences Biologiques et Chimie du Vivant - SSBCV </w:t>
      </w:r>
      <w:r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  <w:t>Unité de recherche : ICOA - Institut de Chimie Organique et Analytique</w:t>
      </w:r>
    </w:p>
    <w:p w:rsidR="0046173C" w:rsidRPr="0046173C" w:rsidRDefault="0046173C" w:rsidP="0046173C">
      <w:pPr>
        <w:spacing w:after="0" w:line="240" w:lineRule="auto"/>
        <w:jc w:val="center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  <w:t xml:space="preserve">Soutenance prévue le </w:t>
      </w:r>
      <w:r w:rsidRPr="0046173C">
        <w:rPr>
          <w:rFonts w:eastAsia="Times New Roman" w:cstheme="minorHAnsi"/>
          <w:b/>
          <w:bCs/>
          <w:i/>
          <w:iCs/>
          <w:color w:val="002060"/>
          <w:sz w:val="24"/>
          <w:szCs w:val="24"/>
          <w:lang w:eastAsia="fr-FR"/>
        </w:rPr>
        <w:t xml:space="preserve">jeudi 01 février 2024 </w:t>
      </w:r>
      <w:r w:rsidRPr="0046173C">
        <w:rPr>
          <w:rFonts w:eastAsia="Times New Roman" w:cstheme="minorHAnsi"/>
          <w:color w:val="002060"/>
          <w:sz w:val="24"/>
          <w:szCs w:val="24"/>
          <w:lang w:eastAsia="fr-FR"/>
        </w:rPr>
        <w:t>à 14h00</w:t>
      </w:r>
      <w:r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  <w:t xml:space="preserve">Lieu :   3 Av. de la Recherche Scientifique, 45100 Orléans </w:t>
      </w:r>
      <w:r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  <w:t xml:space="preserve">Salle : Charles Sadron </w:t>
      </w:r>
      <w:r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</w:r>
      <w:r w:rsidRPr="0046173C">
        <w:rPr>
          <w:rFonts w:eastAsia="Times New Roman" w:cstheme="minorHAnsi"/>
          <w:color w:val="002060"/>
          <w:sz w:val="24"/>
          <w:szCs w:val="24"/>
          <w:lang w:eastAsia="fr-FR"/>
        </w:rPr>
        <w:br/>
      </w:r>
      <w:r w:rsidRPr="0046173C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 xml:space="preserve">Composition du jury proposé </w:t>
      </w:r>
    </w:p>
    <w:tbl>
      <w:tblPr>
        <w:tblW w:w="500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17"/>
        <w:gridCol w:w="4043"/>
        <w:gridCol w:w="3138"/>
      </w:tblGrid>
      <w:tr w:rsidR="0046173C" w:rsidRPr="0046173C" w:rsidTr="004617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M. Samir </w:t>
            </w:r>
            <w:r w:rsidRPr="0046173C">
              <w:rPr>
                <w:rFonts w:eastAsia="Times New Roman" w:cstheme="minorHAnsi"/>
                <w:caps/>
                <w:color w:val="002060"/>
                <w:sz w:val="24"/>
                <w:szCs w:val="24"/>
                <w:lang w:eastAsia="fr-FR"/>
              </w:rPr>
              <w:t>MESSAOUDI</w:t>
            </w: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Université Paris-Saclay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 xml:space="preserve">Rapporteur </w:t>
            </w:r>
          </w:p>
        </w:tc>
      </w:tr>
      <w:tr w:rsidR="0046173C" w:rsidRPr="0046173C" w:rsidTr="004617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Mme Isabelle </w:t>
            </w:r>
            <w:r w:rsidRPr="0046173C">
              <w:rPr>
                <w:rFonts w:eastAsia="Times New Roman" w:cstheme="minorHAnsi"/>
                <w:caps/>
                <w:color w:val="002060"/>
                <w:sz w:val="24"/>
                <w:szCs w:val="24"/>
                <w:lang w:eastAsia="fr-FR"/>
              </w:rPr>
              <w:t>CHATAIGNER</w:t>
            </w: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Université Rouen Normandie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 xml:space="preserve">Rapporteure </w:t>
            </w:r>
          </w:p>
        </w:tc>
      </w:tr>
      <w:tr w:rsidR="0046173C" w:rsidRPr="0046173C" w:rsidTr="004617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M. Guillaume </w:t>
            </w:r>
            <w:r w:rsidRPr="0046173C">
              <w:rPr>
                <w:rFonts w:eastAsia="Times New Roman" w:cstheme="minorHAnsi"/>
                <w:caps/>
                <w:color w:val="002060"/>
                <w:sz w:val="24"/>
                <w:szCs w:val="24"/>
                <w:lang w:eastAsia="fr-FR"/>
              </w:rPr>
              <w:t>PRESTAT</w:t>
            </w: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Université Paris Descartes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 xml:space="preserve">Examinateur </w:t>
            </w:r>
          </w:p>
        </w:tc>
      </w:tr>
      <w:tr w:rsidR="0046173C" w:rsidRPr="0046173C" w:rsidTr="004617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M. Cyril </w:t>
            </w:r>
            <w:r w:rsidRPr="0046173C">
              <w:rPr>
                <w:rFonts w:eastAsia="Times New Roman" w:cstheme="minorHAnsi"/>
                <w:caps/>
                <w:color w:val="002060"/>
                <w:sz w:val="24"/>
                <w:szCs w:val="24"/>
                <w:lang w:eastAsia="fr-FR"/>
              </w:rPr>
              <w:t>NICOLAS</w:t>
            </w: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Université d'Orléans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 xml:space="preserve">Co-encadrant de thèse </w:t>
            </w:r>
          </w:p>
        </w:tc>
      </w:tr>
      <w:tr w:rsidR="0046173C" w:rsidRPr="0046173C" w:rsidTr="004617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Mme Isabelle </w:t>
            </w:r>
            <w:r w:rsidRPr="0046173C">
              <w:rPr>
                <w:rFonts w:eastAsia="Times New Roman" w:cstheme="minorHAnsi"/>
                <w:caps/>
                <w:color w:val="002060"/>
                <w:sz w:val="24"/>
                <w:szCs w:val="24"/>
                <w:lang w:eastAsia="fr-FR"/>
              </w:rPr>
              <w:t>GILLAIZEAU</w:t>
            </w: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UNIVERSITE D'ORLEANS </w:t>
            </w:r>
          </w:p>
        </w:tc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 xml:space="preserve">Directrice de thèse </w:t>
            </w:r>
          </w:p>
        </w:tc>
      </w:tr>
    </w:tbl>
    <w:p w:rsidR="0046173C" w:rsidRPr="0046173C" w:rsidRDefault="0046173C" w:rsidP="0046173C">
      <w:pPr>
        <w:spacing w:after="24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9951"/>
      </w:tblGrid>
      <w:tr w:rsidR="0046173C" w:rsidRPr="0046173C" w:rsidTr="0046173C">
        <w:trPr>
          <w:tblCellSpacing w:w="15" w:type="dxa"/>
        </w:trPr>
        <w:tc>
          <w:tcPr>
            <w:tcW w:w="0" w:type="auto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fr-FR"/>
              </w:rPr>
              <w:t>Mots-clés :</w:t>
            </w: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Catalyse duale synergique,synthèse asymétrique,nitriles chiraux,centres stéréogènes vicinaux,isoquinoléines,O-hétérocycles</w:t>
            </w:r>
          </w:p>
        </w:tc>
      </w:tr>
    </w:tbl>
    <w:p w:rsidR="0046173C" w:rsidRPr="0046173C" w:rsidRDefault="0046173C" w:rsidP="0046173C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8"/>
      </w:tblGrid>
      <w:tr w:rsidR="0046173C" w:rsidRPr="0046173C" w:rsidTr="004617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fr-FR"/>
              </w:rPr>
              <w:t>Résumé :</w:t>
            </w: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 xml:space="preserve">  </w:t>
            </w:r>
          </w:p>
        </w:tc>
      </w:tr>
      <w:tr w:rsidR="0046173C" w:rsidRPr="0046173C" w:rsidTr="004617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Nous avons développé une nouvelle approche via la catalyse duale permettant une activation orthogonale de chacun des deux partenaires organométalliques de couplage Pd/Cu afin de réaliser les réactions dans des conditions douces. Nous avons ainsi étudié la réaction d’α-allylation asymétrique de nitrile tertiaire en tirant profit d’une part du potentiel synthétique des céténimines N-métallées (M = Si, Cu) en tant que nucléophiles et d’autre part, de complexes α-allyl chiraux de palladium, en tant que partenaires électrophiles. Les céténimines N-métallés sont douées d’une chiralité planaire intrinsèque et sont un atout dans la construction innovante, catalytique et asymétrique en une seule étape de stéréocentres quaternaires/tertiaires à partir de nitriles variés. Dans une première partie, nous avons exploré les conditions de réactions optimales impliquant des céténimines N-métallées dans des réactions de catalyse asymétrique. Le choix des conditions opératoires, des ligands et des catalyseurs a permis l’accès à divers nitriles benzyliques substitués porteurs de deux nouveaux centres stéréogènes tertiaire/tertiaire ou quaternaire/tertiaire avec une énantiosélectivité moyenne à excellente (ee &gt; 91%). Par la suite, nous avons étudié les transformations possibles des composés nitriles originaux obtenus, mais également du motif allylique. Des réactions intramoléculaires ont permis l’accès à des motifs lactames, ainsi qu’à des cycles à six carbones entièrement substitués originaux. Ces réactions ont permis d’étendre notre méthodologie à la formation de trois et quatre centres tertiaires et quaternaires contigus. Enfin, une toute autre étude a été réalisée : une catalyse au cobalt(III) en présence de sels d’argent a été utilisée dans le cadre d’une réaction de C-H activation ortho-dirigée pour la formation de dérivés d’isoquinoléine diversement substitués, motifs couramment retrouvé dans des composés bioactifs.</w:t>
            </w:r>
          </w:p>
        </w:tc>
      </w:tr>
      <w:tr w:rsidR="0046173C" w:rsidRPr="0046173C" w:rsidTr="004617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73C" w:rsidRPr="0046173C" w:rsidRDefault="0046173C" w:rsidP="0046173C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46173C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 </w:t>
            </w:r>
          </w:p>
        </w:tc>
      </w:tr>
    </w:tbl>
    <w:p w:rsidR="006818D9" w:rsidRPr="00AF4DDF" w:rsidRDefault="006818D9" w:rsidP="0046173C">
      <w:pPr>
        <w:spacing w:after="0" w:line="240" w:lineRule="auto"/>
        <w:jc w:val="center"/>
        <w:rPr>
          <w:rFonts w:ascii="Gadugi" w:hAnsi="Gadugi"/>
          <w:color w:val="2F5496" w:themeColor="accent5" w:themeShade="BF"/>
        </w:rPr>
      </w:pPr>
    </w:p>
    <w:sectPr w:rsidR="006818D9" w:rsidRPr="00AF4DDF" w:rsidSect="002E02D3">
      <w:pgSz w:w="11906" w:h="16838"/>
      <w:pgMar w:top="397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3B" w:rsidRDefault="0040103B" w:rsidP="006E3318">
      <w:pPr>
        <w:spacing w:after="0" w:line="240" w:lineRule="auto"/>
      </w:pPr>
      <w:r>
        <w:separator/>
      </w:r>
    </w:p>
  </w:endnote>
  <w:endnote w:type="continuationSeparator" w:id="0">
    <w:p w:rsidR="0040103B" w:rsidRDefault="0040103B" w:rsidP="006E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3B" w:rsidRDefault="0040103B" w:rsidP="006E3318">
      <w:pPr>
        <w:spacing w:after="0" w:line="240" w:lineRule="auto"/>
      </w:pPr>
      <w:r>
        <w:separator/>
      </w:r>
    </w:p>
  </w:footnote>
  <w:footnote w:type="continuationSeparator" w:id="0">
    <w:p w:rsidR="0040103B" w:rsidRDefault="0040103B" w:rsidP="006E3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18"/>
    <w:rsid w:val="00092D5F"/>
    <w:rsid w:val="00103E90"/>
    <w:rsid w:val="001A64A5"/>
    <w:rsid w:val="00243719"/>
    <w:rsid w:val="00276C79"/>
    <w:rsid w:val="00280B53"/>
    <w:rsid w:val="002B6449"/>
    <w:rsid w:val="002E02D3"/>
    <w:rsid w:val="002F4B20"/>
    <w:rsid w:val="0031714F"/>
    <w:rsid w:val="003B256B"/>
    <w:rsid w:val="0040103B"/>
    <w:rsid w:val="0046173C"/>
    <w:rsid w:val="004A1AB3"/>
    <w:rsid w:val="006818D9"/>
    <w:rsid w:val="006E3318"/>
    <w:rsid w:val="008240FB"/>
    <w:rsid w:val="00A33447"/>
    <w:rsid w:val="00A72F55"/>
    <w:rsid w:val="00AF4DDF"/>
    <w:rsid w:val="00C15103"/>
    <w:rsid w:val="00DE11DD"/>
    <w:rsid w:val="00E361E8"/>
    <w:rsid w:val="00EB6357"/>
    <w:rsid w:val="00F12409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8A4D4-DEDE-408D-985E-E72FC2BE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318"/>
  </w:style>
  <w:style w:type="paragraph" w:styleId="Pieddepage">
    <w:name w:val="footer"/>
    <w:basedOn w:val="Normal"/>
    <w:link w:val="PieddepageCar"/>
    <w:uiPriority w:val="99"/>
    <w:unhideWhenUsed/>
    <w:rsid w:val="006E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13E8-ECA3-451D-9B81-E27FD5F4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Landais</dc:creator>
  <cp:keywords/>
  <dc:description/>
  <cp:lastModifiedBy>Véronique Grelet</cp:lastModifiedBy>
  <cp:revision>2</cp:revision>
  <cp:lastPrinted>2022-11-17T09:25:00Z</cp:lastPrinted>
  <dcterms:created xsi:type="dcterms:W3CDTF">2024-01-22T13:17:00Z</dcterms:created>
  <dcterms:modified xsi:type="dcterms:W3CDTF">2024-01-22T13:17:00Z</dcterms:modified>
</cp:coreProperties>
</file>