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84189" w14:textId="77777777"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14:anchorId="1FFC85FF" wp14:editId="35AD56FD">
            <wp:extent cx="1035050" cy="7455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92403" cy="786901"/>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280B53">
        <w:rPr>
          <w:rFonts w:ascii="Gadugi" w:eastAsia="Times New Roman" w:hAnsi="Gadugi" w:cs="Times New Roman"/>
          <w:b/>
          <w:bCs/>
          <w:color w:val="002060"/>
          <w:sz w:val="30"/>
          <w:szCs w:val="30"/>
          <w:lang w:eastAsia="fr-FR"/>
        </w:rPr>
        <w:t xml:space="preserve">     </w:t>
      </w:r>
      <w:r>
        <w:rPr>
          <w:rFonts w:ascii="Gadugi" w:eastAsia="Times New Roman" w:hAnsi="Gadugi" w:cs="Times New Roman"/>
          <w:b/>
          <w:bCs/>
          <w:color w:val="002060"/>
          <w:sz w:val="30"/>
          <w:szCs w:val="30"/>
          <w:lang w:eastAsia="fr-FR"/>
        </w:rPr>
        <w:t xml:space="preserve"> </w:t>
      </w:r>
      <w:r w:rsidR="00A72F55">
        <w:rPr>
          <w:rFonts w:ascii="Gadugi" w:eastAsia="Times New Roman" w:hAnsi="Gadugi" w:cs="Times New Roman"/>
          <w:b/>
          <w:bCs/>
          <w:color w:val="002060"/>
          <w:sz w:val="30"/>
          <w:szCs w:val="30"/>
          <w:lang w:eastAsia="fr-FR"/>
        </w:rPr>
        <w:tab/>
      </w:r>
      <w:r w:rsidRPr="006E3318">
        <w:rPr>
          <w:rFonts w:ascii="Gadugi" w:eastAsia="Times New Roman" w:hAnsi="Gadugi" w:cs="Times New Roman"/>
          <w:b/>
          <w:bCs/>
          <w:color w:val="002060"/>
          <w:sz w:val="30"/>
          <w:szCs w:val="30"/>
          <w:lang w:eastAsia="fr-FR"/>
        </w:rPr>
        <w:t>Avis de Soutenance</w:t>
      </w:r>
    </w:p>
    <w:p w14:paraId="345202CD" w14:textId="77777777" w:rsidR="003B0024" w:rsidRPr="003B0024" w:rsidRDefault="006E3318" w:rsidP="003B0024">
      <w:pPr>
        <w:spacing w:after="0" w:line="240" w:lineRule="auto"/>
        <w:jc w:val="center"/>
        <w:rPr>
          <w:rFonts w:eastAsia="Times New Roman" w:cstheme="minorHAnsi"/>
          <w:color w:val="002060"/>
          <w:sz w:val="24"/>
          <w:szCs w:val="24"/>
          <w:lang w:eastAsia="fr-FR"/>
        </w:rPr>
      </w:pPr>
      <w:r w:rsidRPr="00A33447">
        <w:rPr>
          <w:rFonts w:ascii="Gadugi" w:eastAsia="Times New Roman" w:hAnsi="Gadugi" w:cs="Times New Roman"/>
          <w:color w:val="002060"/>
          <w:sz w:val="16"/>
          <w:szCs w:val="16"/>
          <w:lang w:eastAsia="fr-FR"/>
        </w:rPr>
        <w:br/>
      </w:r>
      <w:r w:rsidR="003B0024" w:rsidRPr="003B0024">
        <w:rPr>
          <w:rFonts w:eastAsia="Times New Roman" w:cstheme="minorHAnsi"/>
          <w:color w:val="002060"/>
          <w:sz w:val="30"/>
          <w:szCs w:val="30"/>
          <w:lang w:eastAsia="fr-FR"/>
        </w:rPr>
        <w:t>Monsieur Viktor GREDIČAK</w:t>
      </w:r>
      <w:r w:rsidR="003B0024" w:rsidRPr="003B0024">
        <w:rPr>
          <w:rFonts w:eastAsia="Times New Roman" w:cstheme="minorHAnsi"/>
          <w:color w:val="002060"/>
          <w:sz w:val="30"/>
          <w:szCs w:val="30"/>
          <w:lang w:eastAsia="fr-FR"/>
        </w:rPr>
        <w:br/>
      </w:r>
      <w:r w:rsidR="003B0024" w:rsidRPr="003B0024">
        <w:rPr>
          <w:rFonts w:eastAsia="Times New Roman" w:cstheme="minorHAnsi"/>
          <w:color w:val="002060"/>
          <w:sz w:val="10"/>
          <w:szCs w:val="10"/>
          <w:lang w:eastAsia="fr-FR"/>
        </w:rPr>
        <w:br/>
      </w:r>
      <w:r w:rsidR="003B0024" w:rsidRPr="003B0024">
        <w:rPr>
          <w:rFonts w:eastAsia="Times New Roman" w:cstheme="minorHAnsi"/>
          <w:color w:val="002060"/>
          <w:sz w:val="28"/>
          <w:szCs w:val="28"/>
          <w:lang w:eastAsia="fr-FR"/>
        </w:rPr>
        <w:t xml:space="preserve">Sciences de l'Univers </w:t>
      </w:r>
      <w:r w:rsidR="003B0024" w:rsidRPr="003B0024">
        <w:rPr>
          <w:rFonts w:eastAsia="Times New Roman" w:cstheme="minorHAnsi"/>
          <w:color w:val="002060"/>
          <w:sz w:val="28"/>
          <w:szCs w:val="28"/>
          <w:lang w:eastAsia="fr-FR"/>
        </w:rPr>
        <w:br/>
      </w:r>
      <w:r w:rsidR="003B0024" w:rsidRPr="003B0024">
        <w:rPr>
          <w:rFonts w:eastAsia="Times New Roman" w:cstheme="minorHAnsi"/>
          <w:color w:val="002060"/>
          <w:sz w:val="10"/>
          <w:szCs w:val="10"/>
          <w:lang w:eastAsia="fr-FR"/>
        </w:rPr>
        <w:br/>
      </w:r>
      <w:r w:rsidR="003B0024" w:rsidRPr="003B0024">
        <w:rPr>
          <w:rFonts w:eastAsia="Times New Roman" w:cstheme="minorHAnsi"/>
          <w:color w:val="002060"/>
          <w:sz w:val="24"/>
          <w:szCs w:val="24"/>
          <w:lang w:eastAsia="fr-FR"/>
        </w:rPr>
        <w:t xml:space="preserve">Soutiendra publiquement ses travaux de thèse intitulés </w:t>
      </w:r>
      <w:r w:rsidR="003B0024" w:rsidRPr="003B0024">
        <w:rPr>
          <w:rFonts w:eastAsia="Times New Roman" w:cstheme="minorHAnsi"/>
          <w:color w:val="002060"/>
          <w:sz w:val="24"/>
          <w:szCs w:val="24"/>
          <w:lang w:eastAsia="fr-FR"/>
        </w:rPr>
        <w:br/>
      </w:r>
      <w:r w:rsidR="003B0024" w:rsidRPr="003B0024">
        <w:rPr>
          <w:rFonts w:eastAsia="Times New Roman" w:cstheme="minorHAnsi"/>
          <w:color w:val="002060"/>
          <w:sz w:val="24"/>
          <w:szCs w:val="24"/>
          <w:lang w:eastAsia="fr-FR"/>
        </w:rPr>
        <w:br/>
      </w:r>
      <w:r w:rsidR="003B0024" w:rsidRPr="003B0024">
        <w:rPr>
          <w:rFonts w:eastAsia="Times New Roman" w:cstheme="minorHAnsi"/>
          <w:i/>
          <w:iCs/>
          <w:color w:val="002060"/>
          <w:sz w:val="24"/>
          <w:szCs w:val="24"/>
          <w:lang w:eastAsia="fr-FR"/>
        </w:rPr>
        <w:t xml:space="preserve">Approche </w:t>
      </w:r>
      <w:proofErr w:type="spellStart"/>
      <w:r w:rsidR="003B0024" w:rsidRPr="003B0024">
        <w:rPr>
          <w:rFonts w:eastAsia="Times New Roman" w:cstheme="minorHAnsi"/>
          <w:i/>
          <w:iCs/>
          <w:color w:val="002060"/>
          <w:sz w:val="24"/>
          <w:szCs w:val="24"/>
          <w:lang w:eastAsia="fr-FR"/>
        </w:rPr>
        <w:t>microfluidique</w:t>
      </w:r>
      <w:proofErr w:type="spellEnd"/>
      <w:r w:rsidR="003B0024" w:rsidRPr="003B0024">
        <w:rPr>
          <w:rFonts w:eastAsia="Times New Roman" w:cstheme="minorHAnsi"/>
          <w:i/>
          <w:iCs/>
          <w:color w:val="002060"/>
          <w:sz w:val="24"/>
          <w:szCs w:val="24"/>
          <w:lang w:eastAsia="fr-FR"/>
        </w:rPr>
        <w:t xml:space="preserve"> du transfert de masse aux interfaces fluide–fluide dans les milieux poreux avec contrôle de mouillabilité par plasma et analyse par spectroscopie Raman</w:t>
      </w:r>
      <w:r w:rsidR="003B0024" w:rsidRPr="003B0024">
        <w:rPr>
          <w:rFonts w:eastAsia="Times New Roman" w:cstheme="minorHAnsi"/>
          <w:color w:val="002060"/>
          <w:sz w:val="24"/>
          <w:szCs w:val="24"/>
          <w:lang w:eastAsia="fr-FR"/>
        </w:rPr>
        <w:t xml:space="preserve"> </w:t>
      </w:r>
      <w:r w:rsidR="003B0024" w:rsidRPr="003B0024">
        <w:rPr>
          <w:rFonts w:eastAsia="Times New Roman" w:cstheme="minorHAnsi"/>
          <w:color w:val="002060"/>
          <w:sz w:val="24"/>
          <w:szCs w:val="24"/>
          <w:lang w:eastAsia="fr-FR"/>
        </w:rPr>
        <w:br/>
      </w:r>
      <w:r w:rsidR="003B0024" w:rsidRPr="003B0024">
        <w:rPr>
          <w:rFonts w:eastAsia="Times New Roman" w:cstheme="minorHAnsi"/>
          <w:color w:val="002060"/>
          <w:sz w:val="24"/>
          <w:szCs w:val="24"/>
          <w:lang w:eastAsia="fr-FR"/>
        </w:rPr>
        <w:br/>
        <w:t xml:space="preserve">dirigés par Madame SOPHIE ROMAN et Madame Claire DOUAT </w:t>
      </w:r>
    </w:p>
    <w:p w14:paraId="49423861"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 xml:space="preserve">Ecole doctorale : Energie, Matériaux, Sciences de la Terre et de l'Univers - EMSTU </w:t>
      </w:r>
      <w:r w:rsidRPr="003B0024">
        <w:rPr>
          <w:rFonts w:eastAsia="Times New Roman" w:cstheme="minorHAnsi"/>
          <w:color w:val="002060"/>
          <w:sz w:val="24"/>
          <w:szCs w:val="24"/>
          <w:lang w:eastAsia="fr-FR"/>
        </w:rPr>
        <w:br/>
        <w:t>Unité de recherche : ISTO - Institut des Sciences de la Terre d’Orléans</w:t>
      </w:r>
    </w:p>
    <w:p w14:paraId="0C79CD23" w14:textId="01AF6D7C"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br/>
        <w:t xml:space="preserve">Soutenance prévue le </w:t>
      </w:r>
      <w:r w:rsidRPr="003B0024">
        <w:rPr>
          <w:rFonts w:eastAsia="Times New Roman" w:cstheme="minorHAnsi"/>
          <w:b/>
          <w:bCs/>
          <w:i/>
          <w:iCs/>
          <w:color w:val="002060"/>
          <w:sz w:val="24"/>
          <w:szCs w:val="24"/>
          <w:lang w:eastAsia="fr-FR"/>
        </w:rPr>
        <w:t xml:space="preserve">vendredi 04 juillet 2025 </w:t>
      </w:r>
      <w:r w:rsidRPr="003B0024">
        <w:rPr>
          <w:rFonts w:eastAsia="Times New Roman" w:cstheme="minorHAnsi"/>
          <w:color w:val="002060"/>
          <w:sz w:val="24"/>
          <w:szCs w:val="24"/>
          <w:lang w:eastAsia="fr-FR"/>
        </w:rPr>
        <w:t>à 9h00</w:t>
      </w:r>
      <w:r w:rsidRPr="003B0024">
        <w:rPr>
          <w:rFonts w:eastAsia="Times New Roman" w:cstheme="minorHAnsi"/>
          <w:color w:val="002060"/>
          <w:sz w:val="24"/>
          <w:szCs w:val="24"/>
          <w:lang w:eastAsia="fr-FR"/>
        </w:rPr>
        <w:br/>
        <w:t xml:space="preserve">Lieu :   CNRS, Délégation régionale, 3E avenue de la recherche scientifique, 45071 Orléans </w:t>
      </w:r>
      <w:r w:rsidRPr="003B0024">
        <w:rPr>
          <w:rFonts w:eastAsia="Times New Roman" w:cstheme="minorHAnsi"/>
          <w:color w:val="002060"/>
          <w:sz w:val="24"/>
          <w:szCs w:val="24"/>
          <w:lang w:eastAsia="fr-FR"/>
        </w:rPr>
        <w:br/>
        <w:t xml:space="preserve">Salle : Amphithéâtre Charles </w:t>
      </w:r>
      <w:proofErr w:type="spellStart"/>
      <w:r w:rsidRPr="003B0024">
        <w:rPr>
          <w:rFonts w:eastAsia="Times New Roman" w:cstheme="minorHAnsi"/>
          <w:color w:val="002060"/>
          <w:sz w:val="24"/>
          <w:szCs w:val="24"/>
          <w:lang w:eastAsia="fr-FR"/>
        </w:rPr>
        <w:t>Sadron</w:t>
      </w:r>
      <w:proofErr w:type="spellEnd"/>
      <w:r w:rsidRPr="003B0024">
        <w:rPr>
          <w:rFonts w:eastAsia="Times New Roman" w:cstheme="minorHAnsi"/>
          <w:color w:val="002060"/>
          <w:sz w:val="24"/>
          <w:szCs w:val="24"/>
          <w:lang w:eastAsia="fr-FR"/>
        </w:rPr>
        <w:t xml:space="preserve"> </w:t>
      </w:r>
      <w:r w:rsidRPr="003B0024">
        <w:rPr>
          <w:rFonts w:eastAsia="Times New Roman" w:cstheme="minorHAnsi"/>
          <w:color w:val="002060"/>
          <w:sz w:val="24"/>
          <w:szCs w:val="24"/>
          <w:lang w:eastAsia="fr-FR"/>
        </w:rPr>
        <w:br/>
        <w:t xml:space="preserve">URL salle virtuelle : </w:t>
      </w:r>
      <w:r w:rsidRPr="003B0024">
        <w:rPr>
          <w:rFonts w:eastAsia="Times New Roman" w:cstheme="minorHAnsi"/>
          <w:color w:val="002060"/>
          <w:sz w:val="24"/>
          <w:szCs w:val="24"/>
          <w:lang w:eastAsia="fr-FR"/>
        </w:rPr>
        <w:br/>
      </w:r>
      <w:hyperlink r:id="rId8" w:tgtFrame="blank" w:history="1">
        <w:r w:rsidRPr="003B0024">
          <w:rPr>
            <w:rStyle w:val="Lienhypertexte"/>
            <w:rFonts w:eastAsia="Times New Roman" w:cstheme="minorHAnsi"/>
            <w:sz w:val="24"/>
            <w:szCs w:val="24"/>
            <w:lang w:eastAsia="fr-FR"/>
          </w:rPr>
          <w:t>https://cnrs.zoom.us/j/95814157369?pwd=guTLGuaGBr52Iq3bVNG2nG7OoKnBbD.1</w:t>
        </w:r>
      </w:hyperlink>
      <w:r w:rsidRPr="003B0024">
        <w:rPr>
          <w:rFonts w:eastAsia="Times New Roman" w:cstheme="minorHAnsi"/>
          <w:color w:val="002060"/>
          <w:sz w:val="24"/>
          <w:szCs w:val="24"/>
          <w:lang w:eastAsia="fr-FR"/>
        </w:rPr>
        <w:br/>
      </w:r>
      <w:r w:rsidRPr="003B0024">
        <w:rPr>
          <w:rFonts w:eastAsia="Times New Roman" w:cstheme="minorHAnsi"/>
          <w:color w:val="002060"/>
          <w:sz w:val="24"/>
          <w:szCs w:val="24"/>
          <w:lang w:eastAsia="fr-FR"/>
        </w:rPr>
        <w:br/>
      </w:r>
      <w:r w:rsidRPr="003B0024">
        <w:rPr>
          <w:rFonts w:eastAsia="Times New Roman" w:cstheme="minorHAnsi"/>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095"/>
        <w:gridCol w:w="6028"/>
        <w:gridCol w:w="1875"/>
      </w:tblGrid>
      <w:tr w:rsidR="003B0024" w:rsidRPr="003B0024" w14:paraId="53E5D5F4" w14:textId="77777777" w:rsidTr="003B0024">
        <w:trPr>
          <w:tblCellSpacing w:w="15" w:type="dxa"/>
        </w:trPr>
        <w:tc>
          <w:tcPr>
            <w:tcW w:w="0" w:type="auto"/>
            <w:vAlign w:val="center"/>
            <w:hideMark/>
          </w:tcPr>
          <w:p w14:paraId="37BF80C5"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Mme SOPHIE ROMAN </w:t>
            </w:r>
          </w:p>
        </w:tc>
        <w:tc>
          <w:tcPr>
            <w:tcW w:w="0" w:type="auto"/>
            <w:vAlign w:val="center"/>
            <w:hideMark/>
          </w:tcPr>
          <w:p w14:paraId="48BBE33A"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Université d'Orléans </w:t>
            </w:r>
          </w:p>
        </w:tc>
        <w:tc>
          <w:tcPr>
            <w:tcW w:w="0" w:type="auto"/>
            <w:vAlign w:val="center"/>
            <w:hideMark/>
          </w:tcPr>
          <w:p w14:paraId="6B0903DB"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 xml:space="preserve">Directrice de thèse </w:t>
            </w:r>
          </w:p>
        </w:tc>
      </w:tr>
      <w:tr w:rsidR="003B0024" w:rsidRPr="003B0024" w14:paraId="61DAA147" w14:textId="77777777" w:rsidTr="003B0024">
        <w:trPr>
          <w:tblCellSpacing w:w="15" w:type="dxa"/>
        </w:trPr>
        <w:tc>
          <w:tcPr>
            <w:tcW w:w="0" w:type="auto"/>
            <w:vAlign w:val="center"/>
            <w:hideMark/>
          </w:tcPr>
          <w:p w14:paraId="334DD2F9"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M. Rino MORENT </w:t>
            </w:r>
          </w:p>
        </w:tc>
        <w:tc>
          <w:tcPr>
            <w:tcW w:w="0" w:type="auto"/>
            <w:vAlign w:val="center"/>
            <w:hideMark/>
          </w:tcPr>
          <w:p w14:paraId="4BA3726C" w14:textId="77777777" w:rsidR="003B0024" w:rsidRPr="003B0024" w:rsidRDefault="003B0024" w:rsidP="003B0024">
            <w:pPr>
              <w:spacing w:after="0" w:line="240" w:lineRule="auto"/>
              <w:jc w:val="center"/>
              <w:rPr>
                <w:rFonts w:eastAsia="Times New Roman" w:cstheme="minorHAnsi"/>
                <w:color w:val="002060"/>
                <w:sz w:val="24"/>
                <w:szCs w:val="24"/>
                <w:lang w:eastAsia="fr-FR"/>
              </w:rPr>
            </w:pPr>
            <w:proofErr w:type="spellStart"/>
            <w:r w:rsidRPr="003B0024">
              <w:rPr>
                <w:rFonts w:eastAsia="Times New Roman" w:cstheme="minorHAnsi"/>
                <w:color w:val="002060"/>
                <w:sz w:val="24"/>
                <w:szCs w:val="24"/>
                <w:lang w:eastAsia="fr-FR"/>
              </w:rPr>
              <w:t>Ghent</w:t>
            </w:r>
            <w:proofErr w:type="spellEnd"/>
            <w:r w:rsidRPr="003B0024">
              <w:rPr>
                <w:rFonts w:eastAsia="Times New Roman" w:cstheme="minorHAnsi"/>
                <w:color w:val="002060"/>
                <w:sz w:val="24"/>
                <w:szCs w:val="24"/>
                <w:lang w:eastAsia="fr-FR"/>
              </w:rPr>
              <w:t xml:space="preserve"> </w:t>
            </w:r>
            <w:proofErr w:type="spellStart"/>
            <w:r w:rsidRPr="003B0024">
              <w:rPr>
                <w:rFonts w:eastAsia="Times New Roman" w:cstheme="minorHAnsi"/>
                <w:color w:val="002060"/>
                <w:sz w:val="24"/>
                <w:szCs w:val="24"/>
                <w:lang w:eastAsia="fr-FR"/>
              </w:rPr>
              <w:t>University</w:t>
            </w:r>
            <w:proofErr w:type="spellEnd"/>
            <w:r w:rsidRPr="003B0024">
              <w:rPr>
                <w:rFonts w:eastAsia="Times New Roman" w:cstheme="minorHAnsi"/>
                <w:color w:val="002060"/>
                <w:sz w:val="24"/>
                <w:szCs w:val="24"/>
                <w:lang w:eastAsia="fr-FR"/>
              </w:rPr>
              <w:t> </w:t>
            </w:r>
          </w:p>
        </w:tc>
        <w:tc>
          <w:tcPr>
            <w:tcW w:w="0" w:type="auto"/>
            <w:vAlign w:val="center"/>
            <w:hideMark/>
          </w:tcPr>
          <w:p w14:paraId="58697C83"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 xml:space="preserve">Rapporteur </w:t>
            </w:r>
          </w:p>
        </w:tc>
      </w:tr>
      <w:tr w:rsidR="003B0024" w:rsidRPr="003B0024" w14:paraId="53BC5FCE" w14:textId="77777777" w:rsidTr="003B0024">
        <w:trPr>
          <w:tblCellSpacing w:w="15" w:type="dxa"/>
        </w:trPr>
        <w:tc>
          <w:tcPr>
            <w:tcW w:w="0" w:type="auto"/>
            <w:vAlign w:val="center"/>
            <w:hideMark/>
          </w:tcPr>
          <w:p w14:paraId="1B6A0C05"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M. Joaquin JIMENEZ-MARTINEZ </w:t>
            </w:r>
          </w:p>
        </w:tc>
        <w:tc>
          <w:tcPr>
            <w:tcW w:w="0" w:type="auto"/>
            <w:vAlign w:val="center"/>
            <w:hideMark/>
          </w:tcPr>
          <w:p w14:paraId="4E5BCC85" w14:textId="77777777" w:rsidR="003B0024" w:rsidRPr="003B0024" w:rsidRDefault="003B0024" w:rsidP="003B0024">
            <w:pPr>
              <w:spacing w:after="0" w:line="240" w:lineRule="auto"/>
              <w:jc w:val="center"/>
              <w:rPr>
                <w:rFonts w:eastAsia="Times New Roman" w:cstheme="minorHAnsi"/>
                <w:color w:val="002060"/>
                <w:sz w:val="24"/>
                <w:szCs w:val="24"/>
                <w:lang w:val="en-US" w:eastAsia="fr-FR"/>
              </w:rPr>
            </w:pPr>
            <w:proofErr w:type="spellStart"/>
            <w:r w:rsidRPr="003B0024">
              <w:rPr>
                <w:rFonts w:eastAsia="Times New Roman" w:cstheme="minorHAnsi"/>
                <w:color w:val="002060"/>
                <w:sz w:val="24"/>
                <w:szCs w:val="24"/>
                <w:lang w:val="en-US" w:eastAsia="fr-FR"/>
              </w:rPr>
              <w:t>Eawag</w:t>
            </w:r>
            <w:proofErr w:type="spellEnd"/>
            <w:r w:rsidRPr="003B0024">
              <w:rPr>
                <w:rFonts w:eastAsia="Times New Roman" w:cstheme="minorHAnsi"/>
                <w:color w:val="002060"/>
                <w:sz w:val="24"/>
                <w:szCs w:val="24"/>
                <w:lang w:val="en-US" w:eastAsia="fr-FR"/>
              </w:rPr>
              <w:t>, Swiss Federal Institute of Aquatic Science and Technology </w:t>
            </w:r>
          </w:p>
        </w:tc>
        <w:tc>
          <w:tcPr>
            <w:tcW w:w="0" w:type="auto"/>
            <w:vAlign w:val="center"/>
            <w:hideMark/>
          </w:tcPr>
          <w:p w14:paraId="32C1E6B4"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 xml:space="preserve">Rapporteur </w:t>
            </w:r>
          </w:p>
        </w:tc>
      </w:tr>
      <w:tr w:rsidR="003B0024" w:rsidRPr="003B0024" w14:paraId="17343099" w14:textId="77777777" w:rsidTr="003B0024">
        <w:trPr>
          <w:tblCellSpacing w:w="15" w:type="dxa"/>
        </w:trPr>
        <w:tc>
          <w:tcPr>
            <w:tcW w:w="0" w:type="auto"/>
            <w:vAlign w:val="center"/>
            <w:hideMark/>
          </w:tcPr>
          <w:p w14:paraId="7CB4488F"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Mme Eva KOVACEVIC </w:t>
            </w:r>
          </w:p>
        </w:tc>
        <w:tc>
          <w:tcPr>
            <w:tcW w:w="0" w:type="auto"/>
            <w:vAlign w:val="center"/>
            <w:hideMark/>
          </w:tcPr>
          <w:p w14:paraId="2B509747"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Université d'Orléans </w:t>
            </w:r>
          </w:p>
        </w:tc>
        <w:tc>
          <w:tcPr>
            <w:tcW w:w="0" w:type="auto"/>
            <w:vAlign w:val="center"/>
            <w:hideMark/>
          </w:tcPr>
          <w:p w14:paraId="4DC8460D"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 xml:space="preserve">Examinatrice </w:t>
            </w:r>
          </w:p>
        </w:tc>
      </w:tr>
      <w:tr w:rsidR="003B0024" w:rsidRPr="003B0024" w14:paraId="3DF82A2F" w14:textId="77777777" w:rsidTr="003B0024">
        <w:trPr>
          <w:tblCellSpacing w:w="15" w:type="dxa"/>
        </w:trPr>
        <w:tc>
          <w:tcPr>
            <w:tcW w:w="0" w:type="auto"/>
            <w:vAlign w:val="center"/>
            <w:hideMark/>
          </w:tcPr>
          <w:p w14:paraId="4839292F"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M. Yves MEHEUST </w:t>
            </w:r>
          </w:p>
        </w:tc>
        <w:tc>
          <w:tcPr>
            <w:tcW w:w="0" w:type="auto"/>
            <w:vAlign w:val="center"/>
            <w:hideMark/>
          </w:tcPr>
          <w:p w14:paraId="53EDD47A"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Université Rennes 1 </w:t>
            </w:r>
          </w:p>
        </w:tc>
        <w:tc>
          <w:tcPr>
            <w:tcW w:w="0" w:type="auto"/>
            <w:vAlign w:val="center"/>
            <w:hideMark/>
          </w:tcPr>
          <w:p w14:paraId="65FD3571"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 xml:space="preserve">Examinateur </w:t>
            </w:r>
          </w:p>
        </w:tc>
      </w:tr>
      <w:tr w:rsidR="003B0024" w:rsidRPr="003B0024" w14:paraId="3B19B5E0" w14:textId="77777777" w:rsidTr="003B0024">
        <w:trPr>
          <w:tblCellSpacing w:w="15" w:type="dxa"/>
        </w:trPr>
        <w:tc>
          <w:tcPr>
            <w:tcW w:w="0" w:type="auto"/>
            <w:vAlign w:val="center"/>
            <w:hideMark/>
          </w:tcPr>
          <w:p w14:paraId="747729C2"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M. Jean-Louis ROUET </w:t>
            </w:r>
          </w:p>
        </w:tc>
        <w:tc>
          <w:tcPr>
            <w:tcW w:w="0" w:type="auto"/>
            <w:vAlign w:val="center"/>
            <w:hideMark/>
          </w:tcPr>
          <w:p w14:paraId="1A89EBC5" w14:textId="77777777" w:rsidR="003B0024" w:rsidRPr="003B0024" w:rsidRDefault="003B0024" w:rsidP="003B0024">
            <w:pPr>
              <w:spacing w:after="0" w:line="240" w:lineRule="auto"/>
              <w:jc w:val="center"/>
              <w:rPr>
                <w:rFonts w:eastAsia="Times New Roman" w:cstheme="minorHAnsi"/>
                <w:color w:val="002060"/>
                <w:sz w:val="24"/>
                <w:szCs w:val="24"/>
                <w:lang w:eastAsia="fr-FR"/>
              </w:rPr>
            </w:pPr>
            <w:proofErr w:type="spellStart"/>
            <w:r w:rsidRPr="003B0024">
              <w:rPr>
                <w:rFonts w:eastAsia="Times New Roman" w:cstheme="minorHAnsi"/>
                <w:color w:val="002060"/>
                <w:sz w:val="24"/>
                <w:szCs w:val="24"/>
                <w:lang w:eastAsia="fr-FR"/>
              </w:rPr>
              <w:t>Universite</w:t>
            </w:r>
            <w:proofErr w:type="spellEnd"/>
            <w:r w:rsidRPr="003B0024">
              <w:rPr>
                <w:rFonts w:eastAsia="Times New Roman" w:cstheme="minorHAnsi"/>
                <w:color w:val="002060"/>
                <w:sz w:val="24"/>
                <w:szCs w:val="24"/>
                <w:lang w:eastAsia="fr-FR"/>
              </w:rPr>
              <w:t xml:space="preserve"> d'Orléans </w:t>
            </w:r>
          </w:p>
        </w:tc>
        <w:tc>
          <w:tcPr>
            <w:tcW w:w="0" w:type="auto"/>
            <w:vAlign w:val="center"/>
            <w:hideMark/>
          </w:tcPr>
          <w:p w14:paraId="38269472"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 xml:space="preserve">Examinateur </w:t>
            </w:r>
          </w:p>
        </w:tc>
      </w:tr>
      <w:tr w:rsidR="003B0024" w:rsidRPr="003B0024" w14:paraId="400C3FAE" w14:textId="77777777" w:rsidTr="003B0024">
        <w:trPr>
          <w:tblCellSpacing w:w="15" w:type="dxa"/>
        </w:trPr>
        <w:tc>
          <w:tcPr>
            <w:tcW w:w="0" w:type="auto"/>
            <w:vAlign w:val="center"/>
            <w:hideMark/>
          </w:tcPr>
          <w:p w14:paraId="646331C2"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Mme Claire DOUAT </w:t>
            </w:r>
          </w:p>
        </w:tc>
        <w:tc>
          <w:tcPr>
            <w:tcW w:w="0" w:type="auto"/>
            <w:vAlign w:val="center"/>
            <w:hideMark/>
          </w:tcPr>
          <w:p w14:paraId="4C78C215" w14:textId="77777777" w:rsidR="003B0024" w:rsidRPr="003B0024" w:rsidRDefault="003B0024" w:rsidP="003B0024">
            <w:pPr>
              <w:spacing w:after="0" w:line="240" w:lineRule="auto"/>
              <w:jc w:val="center"/>
              <w:rPr>
                <w:rFonts w:eastAsia="Times New Roman" w:cstheme="minorHAnsi"/>
                <w:color w:val="002060"/>
                <w:sz w:val="24"/>
                <w:szCs w:val="24"/>
                <w:lang w:eastAsia="fr-FR"/>
              </w:rPr>
            </w:pPr>
            <w:proofErr w:type="spellStart"/>
            <w:r w:rsidRPr="003B0024">
              <w:rPr>
                <w:rFonts w:eastAsia="Times New Roman" w:cstheme="minorHAnsi"/>
                <w:color w:val="002060"/>
                <w:sz w:val="24"/>
                <w:szCs w:val="24"/>
                <w:lang w:eastAsia="fr-FR"/>
              </w:rPr>
              <w:t>Universite</w:t>
            </w:r>
            <w:proofErr w:type="spellEnd"/>
            <w:r w:rsidRPr="003B0024">
              <w:rPr>
                <w:rFonts w:eastAsia="Times New Roman" w:cstheme="minorHAnsi"/>
                <w:color w:val="002060"/>
                <w:sz w:val="24"/>
                <w:szCs w:val="24"/>
                <w:lang w:eastAsia="fr-FR"/>
              </w:rPr>
              <w:t xml:space="preserve"> d'Orleans </w:t>
            </w:r>
          </w:p>
        </w:tc>
        <w:tc>
          <w:tcPr>
            <w:tcW w:w="0" w:type="auto"/>
            <w:vAlign w:val="center"/>
            <w:hideMark/>
          </w:tcPr>
          <w:p w14:paraId="4FBA7AF7"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Invitée</w:t>
            </w:r>
          </w:p>
        </w:tc>
      </w:tr>
      <w:tr w:rsidR="003B0024" w:rsidRPr="003B0024" w14:paraId="4DBFC33A" w14:textId="77777777" w:rsidTr="003B0024">
        <w:trPr>
          <w:tblCellSpacing w:w="15" w:type="dxa"/>
        </w:trPr>
        <w:tc>
          <w:tcPr>
            <w:tcW w:w="0" w:type="auto"/>
            <w:vAlign w:val="center"/>
            <w:hideMark/>
          </w:tcPr>
          <w:p w14:paraId="30F3C9E8"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 xml:space="preserve">Mme </w:t>
            </w:r>
            <w:proofErr w:type="spellStart"/>
            <w:r w:rsidRPr="003B0024">
              <w:rPr>
                <w:rFonts w:eastAsia="Times New Roman" w:cstheme="minorHAnsi"/>
                <w:color w:val="002060"/>
                <w:sz w:val="24"/>
                <w:szCs w:val="24"/>
                <w:lang w:eastAsia="fr-FR"/>
              </w:rPr>
              <w:t>Aneta</w:t>
            </w:r>
            <w:proofErr w:type="spellEnd"/>
            <w:r w:rsidRPr="003B0024">
              <w:rPr>
                <w:rFonts w:eastAsia="Times New Roman" w:cstheme="minorHAnsi"/>
                <w:color w:val="002060"/>
                <w:sz w:val="24"/>
                <w:szCs w:val="24"/>
                <w:lang w:eastAsia="fr-FR"/>
              </w:rPr>
              <w:t> SLODCZYK </w:t>
            </w:r>
          </w:p>
        </w:tc>
        <w:tc>
          <w:tcPr>
            <w:tcW w:w="0" w:type="auto"/>
            <w:vAlign w:val="center"/>
            <w:hideMark/>
          </w:tcPr>
          <w:p w14:paraId="13959F01"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CNRS </w:t>
            </w:r>
          </w:p>
        </w:tc>
        <w:tc>
          <w:tcPr>
            <w:tcW w:w="0" w:type="auto"/>
            <w:vAlign w:val="center"/>
            <w:hideMark/>
          </w:tcPr>
          <w:p w14:paraId="6E01950B" w14:textId="77777777" w:rsidR="003B0024" w:rsidRPr="003B0024" w:rsidRDefault="003B0024" w:rsidP="003B0024">
            <w:pPr>
              <w:spacing w:after="0" w:line="240" w:lineRule="auto"/>
              <w:jc w:val="center"/>
              <w:rPr>
                <w:rFonts w:eastAsia="Times New Roman" w:cstheme="minorHAnsi"/>
                <w:color w:val="002060"/>
                <w:sz w:val="24"/>
                <w:szCs w:val="24"/>
                <w:lang w:eastAsia="fr-FR"/>
              </w:rPr>
            </w:pPr>
            <w:r w:rsidRPr="003B0024">
              <w:rPr>
                <w:rFonts w:eastAsia="Times New Roman" w:cstheme="minorHAnsi"/>
                <w:color w:val="002060"/>
                <w:sz w:val="24"/>
                <w:szCs w:val="24"/>
                <w:lang w:eastAsia="fr-FR"/>
              </w:rPr>
              <w:t>Invitée</w:t>
            </w:r>
          </w:p>
        </w:tc>
      </w:tr>
    </w:tbl>
    <w:p w14:paraId="50B16834" w14:textId="77777777" w:rsidR="003B0024" w:rsidRPr="003B0024" w:rsidRDefault="003B0024" w:rsidP="003B0024">
      <w:pPr>
        <w:spacing w:after="0" w:line="240" w:lineRule="auto"/>
        <w:jc w:val="center"/>
        <w:rPr>
          <w:rFonts w:eastAsia="Times New Roman" w:cstheme="minorHAnsi"/>
          <w:color w:val="002060"/>
          <w:sz w:val="10"/>
          <w:szCs w:val="10"/>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6"/>
        <w:gridCol w:w="9962"/>
      </w:tblGrid>
      <w:tr w:rsidR="003B0024" w:rsidRPr="003B0024" w14:paraId="32377E2F" w14:textId="77777777" w:rsidTr="003B0024">
        <w:trPr>
          <w:tblCellSpacing w:w="15" w:type="dxa"/>
        </w:trPr>
        <w:tc>
          <w:tcPr>
            <w:tcW w:w="0" w:type="auto"/>
            <w:hideMark/>
          </w:tcPr>
          <w:p w14:paraId="40F76E74" w14:textId="77777777" w:rsidR="003B0024" w:rsidRPr="003B0024" w:rsidRDefault="003B0024" w:rsidP="003B0024">
            <w:pPr>
              <w:spacing w:after="0" w:line="240" w:lineRule="auto"/>
              <w:rPr>
                <w:rFonts w:eastAsia="Times New Roman" w:cstheme="minorHAnsi"/>
                <w:color w:val="002060"/>
                <w:sz w:val="24"/>
                <w:szCs w:val="24"/>
                <w:lang w:eastAsia="fr-FR"/>
              </w:rPr>
            </w:pPr>
            <w:r w:rsidRPr="003B0024">
              <w:rPr>
                <w:rFonts w:eastAsia="Times New Roman" w:cstheme="minorHAnsi"/>
                <w:b/>
                <w:bCs/>
                <w:color w:val="002060"/>
                <w:sz w:val="24"/>
                <w:szCs w:val="24"/>
                <w:lang w:eastAsia="fr-FR"/>
              </w:rPr>
              <w:t>Mots-clés :</w:t>
            </w:r>
            <w:r w:rsidRPr="003B0024">
              <w:rPr>
                <w:rFonts w:eastAsia="Times New Roman" w:cstheme="minorHAnsi"/>
                <w:color w:val="002060"/>
                <w:sz w:val="24"/>
                <w:szCs w:val="24"/>
                <w:lang w:eastAsia="fr-FR"/>
              </w:rPr>
              <w:t xml:space="preserve"> </w:t>
            </w:r>
          </w:p>
        </w:tc>
        <w:tc>
          <w:tcPr>
            <w:tcW w:w="0" w:type="auto"/>
            <w:hideMark/>
          </w:tcPr>
          <w:p w14:paraId="6F5530A1" w14:textId="77777777" w:rsidR="003B0024" w:rsidRPr="003B0024" w:rsidRDefault="003B0024" w:rsidP="003B0024">
            <w:pPr>
              <w:spacing w:after="0" w:line="240" w:lineRule="auto"/>
              <w:rPr>
                <w:rFonts w:eastAsia="Times New Roman" w:cstheme="minorHAnsi"/>
                <w:color w:val="002060"/>
                <w:sz w:val="24"/>
                <w:szCs w:val="24"/>
                <w:lang w:eastAsia="fr-FR"/>
              </w:rPr>
            </w:pPr>
            <w:proofErr w:type="spellStart"/>
            <w:proofErr w:type="gramStart"/>
            <w:r w:rsidRPr="003B0024">
              <w:rPr>
                <w:rFonts w:eastAsia="Times New Roman" w:cstheme="minorHAnsi"/>
                <w:color w:val="002060"/>
                <w:sz w:val="24"/>
                <w:szCs w:val="24"/>
                <w:lang w:eastAsia="fr-FR"/>
              </w:rPr>
              <w:t>microfluidique,milieux</w:t>
            </w:r>
            <w:proofErr w:type="spellEnd"/>
            <w:proofErr w:type="gramEnd"/>
            <w:r w:rsidRPr="003B0024">
              <w:rPr>
                <w:rFonts w:eastAsia="Times New Roman" w:cstheme="minorHAnsi"/>
                <w:color w:val="002060"/>
                <w:sz w:val="24"/>
                <w:szCs w:val="24"/>
                <w:lang w:eastAsia="fr-FR"/>
              </w:rPr>
              <w:t xml:space="preserve"> </w:t>
            </w:r>
            <w:proofErr w:type="spellStart"/>
            <w:proofErr w:type="gramStart"/>
            <w:r w:rsidRPr="003B0024">
              <w:rPr>
                <w:rFonts w:eastAsia="Times New Roman" w:cstheme="minorHAnsi"/>
                <w:color w:val="002060"/>
                <w:sz w:val="24"/>
                <w:szCs w:val="24"/>
                <w:lang w:eastAsia="fr-FR"/>
              </w:rPr>
              <w:t>poreux,écoulements</w:t>
            </w:r>
            <w:proofErr w:type="spellEnd"/>
            <w:proofErr w:type="gramEnd"/>
            <w:r w:rsidRPr="003B0024">
              <w:rPr>
                <w:rFonts w:eastAsia="Times New Roman" w:cstheme="minorHAnsi"/>
                <w:color w:val="002060"/>
                <w:sz w:val="24"/>
                <w:szCs w:val="24"/>
                <w:lang w:eastAsia="fr-FR"/>
              </w:rPr>
              <w:t xml:space="preserve"> </w:t>
            </w:r>
            <w:proofErr w:type="spellStart"/>
            <w:proofErr w:type="gramStart"/>
            <w:r w:rsidRPr="003B0024">
              <w:rPr>
                <w:rFonts w:eastAsia="Times New Roman" w:cstheme="minorHAnsi"/>
                <w:color w:val="002060"/>
                <w:sz w:val="24"/>
                <w:szCs w:val="24"/>
                <w:lang w:eastAsia="fr-FR"/>
              </w:rPr>
              <w:t>multiphasiquess,spectroscopie</w:t>
            </w:r>
            <w:proofErr w:type="spellEnd"/>
            <w:proofErr w:type="gramEnd"/>
            <w:r w:rsidRPr="003B0024">
              <w:rPr>
                <w:rFonts w:eastAsia="Times New Roman" w:cstheme="minorHAnsi"/>
                <w:color w:val="002060"/>
                <w:sz w:val="24"/>
                <w:szCs w:val="24"/>
                <w:lang w:eastAsia="fr-FR"/>
              </w:rPr>
              <w:t xml:space="preserve"> </w:t>
            </w:r>
            <w:proofErr w:type="spellStart"/>
            <w:proofErr w:type="gramStart"/>
            <w:r w:rsidRPr="003B0024">
              <w:rPr>
                <w:rFonts w:eastAsia="Times New Roman" w:cstheme="minorHAnsi"/>
                <w:color w:val="002060"/>
                <w:sz w:val="24"/>
                <w:szCs w:val="24"/>
                <w:lang w:eastAsia="fr-FR"/>
              </w:rPr>
              <w:t>vibrationnelle,traitement</w:t>
            </w:r>
            <w:proofErr w:type="spellEnd"/>
            <w:proofErr w:type="gramEnd"/>
            <w:r w:rsidRPr="003B0024">
              <w:rPr>
                <w:rFonts w:eastAsia="Times New Roman" w:cstheme="minorHAnsi"/>
                <w:color w:val="002060"/>
                <w:sz w:val="24"/>
                <w:szCs w:val="24"/>
                <w:lang w:eastAsia="fr-FR"/>
              </w:rPr>
              <w:t xml:space="preserve"> </w:t>
            </w:r>
            <w:proofErr w:type="spellStart"/>
            <w:proofErr w:type="gramStart"/>
            <w:r w:rsidRPr="003B0024">
              <w:rPr>
                <w:rFonts w:eastAsia="Times New Roman" w:cstheme="minorHAnsi"/>
                <w:color w:val="002060"/>
                <w:sz w:val="24"/>
                <w:szCs w:val="24"/>
                <w:lang w:eastAsia="fr-FR"/>
              </w:rPr>
              <w:t>plasma,stockage</w:t>
            </w:r>
            <w:proofErr w:type="spellEnd"/>
            <w:proofErr w:type="gramEnd"/>
            <w:r w:rsidRPr="003B0024">
              <w:rPr>
                <w:rFonts w:eastAsia="Times New Roman" w:cstheme="minorHAnsi"/>
                <w:color w:val="002060"/>
                <w:sz w:val="24"/>
                <w:szCs w:val="24"/>
                <w:lang w:eastAsia="fr-FR"/>
              </w:rPr>
              <w:t xml:space="preserve"> de CO2</w:t>
            </w:r>
          </w:p>
        </w:tc>
      </w:tr>
    </w:tbl>
    <w:p w14:paraId="15F0A7EB" w14:textId="77777777" w:rsidR="003B0024" w:rsidRPr="003B0024" w:rsidRDefault="003B0024" w:rsidP="003B0024">
      <w:pPr>
        <w:spacing w:after="0" w:line="240" w:lineRule="auto"/>
        <w:jc w:val="center"/>
        <w:rPr>
          <w:rFonts w:eastAsia="Times New Roman" w:cstheme="minorHAnsi"/>
          <w:color w:val="002060"/>
          <w:sz w:val="10"/>
          <w:szCs w:val="10"/>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3B0024" w:rsidRPr="003B0024" w14:paraId="198EF4FA" w14:textId="77777777" w:rsidTr="003B0024">
        <w:trPr>
          <w:tblCellSpacing w:w="15" w:type="dxa"/>
        </w:trPr>
        <w:tc>
          <w:tcPr>
            <w:tcW w:w="0" w:type="auto"/>
            <w:vAlign w:val="center"/>
            <w:hideMark/>
          </w:tcPr>
          <w:p w14:paraId="4C66A9DA" w14:textId="77777777" w:rsidR="003B0024" w:rsidRPr="003B0024" w:rsidRDefault="003B0024" w:rsidP="003B0024">
            <w:pPr>
              <w:spacing w:after="0" w:line="240" w:lineRule="auto"/>
              <w:rPr>
                <w:rFonts w:eastAsia="Times New Roman" w:cstheme="minorHAnsi"/>
                <w:color w:val="002060"/>
                <w:sz w:val="24"/>
                <w:szCs w:val="24"/>
                <w:lang w:eastAsia="fr-FR"/>
              </w:rPr>
            </w:pPr>
            <w:r w:rsidRPr="003B0024">
              <w:rPr>
                <w:rFonts w:eastAsia="Times New Roman" w:cstheme="minorHAnsi"/>
                <w:b/>
                <w:bCs/>
                <w:color w:val="002060"/>
                <w:sz w:val="24"/>
                <w:szCs w:val="24"/>
                <w:lang w:eastAsia="fr-FR"/>
              </w:rPr>
              <w:t>Résumé :</w:t>
            </w:r>
            <w:r w:rsidRPr="003B0024">
              <w:rPr>
                <w:rFonts w:eastAsia="Times New Roman" w:cstheme="minorHAnsi"/>
                <w:color w:val="002060"/>
                <w:sz w:val="24"/>
                <w:szCs w:val="24"/>
                <w:lang w:eastAsia="fr-FR"/>
              </w:rPr>
              <w:t xml:space="preserve">  </w:t>
            </w:r>
          </w:p>
        </w:tc>
      </w:tr>
      <w:tr w:rsidR="003B0024" w:rsidRPr="003B0024" w14:paraId="17B256FB" w14:textId="77777777" w:rsidTr="003B0024">
        <w:trPr>
          <w:tblCellSpacing w:w="15" w:type="dxa"/>
        </w:trPr>
        <w:tc>
          <w:tcPr>
            <w:tcW w:w="0" w:type="auto"/>
            <w:vAlign w:val="center"/>
            <w:hideMark/>
          </w:tcPr>
          <w:p w14:paraId="1C58DA10" w14:textId="77777777" w:rsidR="003B0024" w:rsidRPr="003B0024" w:rsidRDefault="003B0024" w:rsidP="003B0024">
            <w:pPr>
              <w:spacing w:after="0" w:line="240" w:lineRule="auto"/>
              <w:rPr>
                <w:rFonts w:eastAsia="Times New Roman" w:cstheme="minorHAnsi"/>
                <w:color w:val="002060"/>
                <w:sz w:val="24"/>
                <w:szCs w:val="24"/>
                <w:lang w:eastAsia="fr-FR"/>
              </w:rPr>
            </w:pPr>
            <w:r w:rsidRPr="003B0024">
              <w:rPr>
                <w:rFonts w:eastAsia="Times New Roman" w:cstheme="minorHAnsi"/>
                <w:color w:val="002060"/>
                <w:sz w:val="24"/>
                <w:szCs w:val="24"/>
                <w:lang w:eastAsia="fr-FR"/>
              </w:rPr>
              <w:t xml:space="preserve">Cette thèse de doctorat s’inscrit dans le cadre du projet INTER-AQ porté par le CNRS, une initiative de recherche interdisciplinaire visant à élucider les dynamiques complexes et couplées du transfert de masse et de la redistribution des fluides aux interfaces fluide-fluide dans les milieux poreux. Le projet combine la </w:t>
            </w:r>
            <w:proofErr w:type="spellStart"/>
            <w:r w:rsidRPr="003B0024">
              <w:rPr>
                <w:rFonts w:eastAsia="Times New Roman" w:cstheme="minorHAnsi"/>
                <w:color w:val="002060"/>
                <w:sz w:val="24"/>
                <w:szCs w:val="24"/>
                <w:lang w:eastAsia="fr-FR"/>
              </w:rPr>
              <w:t>microfluidique</w:t>
            </w:r>
            <w:proofErr w:type="spellEnd"/>
            <w:r w:rsidRPr="003B0024">
              <w:rPr>
                <w:rFonts w:eastAsia="Times New Roman" w:cstheme="minorHAnsi"/>
                <w:color w:val="002060"/>
                <w:sz w:val="24"/>
                <w:szCs w:val="24"/>
                <w:lang w:eastAsia="fr-FR"/>
              </w:rPr>
              <w:t xml:space="preserve"> expérimentale pour reproduire des environnements souterrains, la spectroscopie Raman pour la quantification chimique in situ, et des techniques innovantes à base de plasma pour moduler les propriétés de surface des pores. Ces approches intégrées ciblent des enjeux énergétiques majeurs, tels que le stockage géologique du CO2. Dans ce cadre, la recherche doctorale apporte une contribution à l’échelle des pores, en développant des méthodes expérimentales permettant d’analyser comment les phénomènes interfaciaux influencent le comportement des fluides dans les systèmes poreux. Cette thèse vise à combler une lacune essentielle dans la compréhension du transfert de masse à l’échelle des pores, en s’intéressant spécifiquement à l’impact de la mouillabilité sur les échanges aux interfaces fluide–fluide et sur les mécanismes de piégeage. Cette étude présente le développement d’une plateforme expérimentale intégrant la </w:t>
            </w:r>
            <w:proofErr w:type="spellStart"/>
            <w:r w:rsidRPr="003B0024">
              <w:rPr>
                <w:rFonts w:eastAsia="Times New Roman" w:cstheme="minorHAnsi"/>
                <w:color w:val="002060"/>
                <w:sz w:val="24"/>
                <w:szCs w:val="24"/>
                <w:lang w:eastAsia="fr-FR"/>
              </w:rPr>
              <w:t>microfluidique</w:t>
            </w:r>
            <w:proofErr w:type="spellEnd"/>
            <w:r w:rsidRPr="003B0024">
              <w:rPr>
                <w:rFonts w:eastAsia="Times New Roman" w:cstheme="minorHAnsi"/>
                <w:color w:val="002060"/>
                <w:sz w:val="24"/>
                <w:szCs w:val="24"/>
                <w:lang w:eastAsia="fr-FR"/>
              </w:rPr>
              <w:t xml:space="preserve"> et la spectroscopie </w:t>
            </w:r>
            <w:proofErr w:type="spellStart"/>
            <w:r w:rsidRPr="003B0024">
              <w:rPr>
                <w:rFonts w:eastAsia="Times New Roman" w:cstheme="minorHAnsi"/>
                <w:color w:val="002060"/>
                <w:sz w:val="24"/>
                <w:szCs w:val="24"/>
                <w:lang w:eastAsia="fr-FR"/>
              </w:rPr>
              <w:t>μRaman</w:t>
            </w:r>
            <w:proofErr w:type="spellEnd"/>
            <w:r w:rsidRPr="003B0024">
              <w:rPr>
                <w:rFonts w:eastAsia="Times New Roman" w:cstheme="minorHAnsi"/>
                <w:color w:val="002060"/>
                <w:sz w:val="24"/>
                <w:szCs w:val="24"/>
                <w:lang w:eastAsia="fr-FR"/>
              </w:rPr>
              <w:t xml:space="preserve">. Les dispositifs </w:t>
            </w:r>
            <w:proofErr w:type="spellStart"/>
            <w:r w:rsidRPr="003B0024">
              <w:rPr>
                <w:rFonts w:eastAsia="Times New Roman" w:cstheme="minorHAnsi"/>
                <w:color w:val="002060"/>
                <w:sz w:val="24"/>
                <w:szCs w:val="24"/>
                <w:lang w:eastAsia="fr-FR"/>
              </w:rPr>
              <w:t>microfluidiques</w:t>
            </w:r>
            <w:proofErr w:type="spellEnd"/>
            <w:r w:rsidRPr="003B0024">
              <w:rPr>
                <w:rFonts w:eastAsia="Times New Roman" w:cstheme="minorHAnsi"/>
                <w:color w:val="002060"/>
                <w:sz w:val="24"/>
                <w:szCs w:val="24"/>
                <w:lang w:eastAsia="fr-FR"/>
              </w:rPr>
              <w:t xml:space="preserve"> sont des réseaux de pores </w:t>
            </w:r>
            <w:r w:rsidRPr="003B0024">
              <w:rPr>
                <w:rFonts w:eastAsia="Times New Roman" w:cstheme="minorHAnsi"/>
                <w:color w:val="002060"/>
                <w:sz w:val="24"/>
                <w:szCs w:val="24"/>
                <w:lang w:eastAsia="fr-FR"/>
              </w:rPr>
              <w:lastRenderedPageBreak/>
              <w:t xml:space="preserve">transparents constitués de canaux, simulant des environnements poreux souterrains et permettant une visualisation directe des comportements des fluides. Cette étude propose, pour la première fois, l’utilisation in situ du traitement plasma à pression atmosphérique comme outil de contrôle de la mouillabilité. Les connaissances acquises sur le transfert de masse interfacial en fonction des propriétés de mouillabilité devraient permettre d’améliorer l’étalonnage des modèles numériques à l’échelle des pores comme à l’échelle du réservoir, augmentant ainsi la précision des prévisions pour le stockage du carbone dans les réservoirs géologiques. L’étude s’articule autour de trois questions de recherche principales. Premièrement, la faisabilité de la propagation d’un plasma atmosphérique dans des canaux </w:t>
            </w:r>
            <w:proofErr w:type="spellStart"/>
            <w:r w:rsidRPr="003B0024">
              <w:rPr>
                <w:rFonts w:eastAsia="Times New Roman" w:cstheme="minorHAnsi"/>
                <w:color w:val="002060"/>
                <w:sz w:val="24"/>
                <w:szCs w:val="24"/>
                <w:lang w:eastAsia="fr-FR"/>
              </w:rPr>
              <w:t>microfluidiques</w:t>
            </w:r>
            <w:proofErr w:type="spellEnd"/>
            <w:r w:rsidRPr="003B0024">
              <w:rPr>
                <w:rFonts w:eastAsia="Times New Roman" w:cstheme="minorHAnsi"/>
                <w:color w:val="002060"/>
                <w:sz w:val="24"/>
                <w:szCs w:val="24"/>
                <w:lang w:eastAsia="fr-FR"/>
              </w:rPr>
              <w:t xml:space="preserve"> fermés est examinée pour contrôler la mouillabilité des surfaces. Le travail démontre qu’un jet de plasma à pression atmosphérique peut être introduit et contrôlé avec succès dans les dispositifs, permettant une modification fiable de la mouillabilité des canaux. Les résultats obtenus par mesure in situ de l’angle de contact sur images indiquent un traitement homogène avec un accroissement des propriétés hydrophiles. La mouillabilité obtenue sur le verre avec notre configuration montre une stabilité pouvant atteindre 70 jours, selon les paramètres de traitement plasma et de stockage. Deuxièmement, l’étude examine comment les conditions de mouillabilité affectent le piégeage capillaire et le transfert de masse interfacial. En utilisant des dispositifs </w:t>
            </w:r>
            <w:proofErr w:type="spellStart"/>
            <w:r w:rsidRPr="003B0024">
              <w:rPr>
                <w:rFonts w:eastAsia="Times New Roman" w:cstheme="minorHAnsi"/>
                <w:color w:val="002060"/>
                <w:sz w:val="24"/>
                <w:szCs w:val="24"/>
                <w:lang w:eastAsia="fr-FR"/>
              </w:rPr>
              <w:t>microfluidiques</w:t>
            </w:r>
            <w:proofErr w:type="spellEnd"/>
            <w:r w:rsidRPr="003B0024">
              <w:rPr>
                <w:rFonts w:eastAsia="Times New Roman" w:cstheme="minorHAnsi"/>
                <w:color w:val="002060"/>
                <w:sz w:val="24"/>
                <w:szCs w:val="24"/>
                <w:lang w:eastAsia="fr-FR"/>
              </w:rPr>
              <w:t xml:space="preserve"> de complexité géométrique croissante, les expériences révèlent que la mouillabilité de surface influence effectivement le piégeage résiduel, l’évaporation de l’eau et la dissolution du CO2 sous différentes conditions d’écoulement. Troisièmement, le potentiel de la spectroscopie </w:t>
            </w:r>
            <w:proofErr w:type="spellStart"/>
            <w:r w:rsidRPr="003B0024">
              <w:rPr>
                <w:rFonts w:eastAsia="Times New Roman" w:cstheme="minorHAnsi"/>
                <w:color w:val="002060"/>
                <w:sz w:val="24"/>
                <w:szCs w:val="24"/>
                <w:lang w:eastAsia="fr-FR"/>
              </w:rPr>
              <w:t>μRaman</w:t>
            </w:r>
            <w:proofErr w:type="spellEnd"/>
            <w:r w:rsidRPr="003B0024">
              <w:rPr>
                <w:rFonts w:eastAsia="Times New Roman" w:cstheme="minorHAnsi"/>
                <w:color w:val="002060"/>
                <w:sz w:val="24"/>
                <w:szCs w:val="24"/>
                <w:lang w:eastAsia="fr-FR"/>
              </w:rPr>
              <w:t xml:space="preserve"> pour une analyse in situ semi-quantitative de la dissolution du CO2 est évalué. L’analyse Raman permet de capturer l’évolution temporelle des espèces dissoutes, fournissant des données chimiques complémentaires aux observations visuelles des écoulements, et permettant la quantification des taux de transfert de masse interfaciale. En résumé, cette recherche intègre les plasmas atmosphériques, la </w:t>
            </w:r>
            <w:proofErr w:type="spellStart"/>
            <w:r w:rsidRPr="003B0024">
              <w:rPr>
                <w:rFonts w:eastAsia="Times New Roman" w:cstheme="minorHAnsi"/>
                <w:color w:val="002060"/>
                <w:sz w:val="24"/>
                <w:szCs w:val="24"/>
                <w:lang w:eastAsia="fr-FR"/>
              </w:rPr>
              <w:t>microfluidique</w:t>
            </w:r>
            <w:proofErr w:type="spellEnd"/>
            <w:r w:rsidRPr="003B0024">
              <w:rPr>
                <w:rFonts w:eastAsia="Times New Roman" w:cstheme="minorHAnsi"/>
                <w:color w:val="002060"/>
                <w:sz w:val="24"/>
                <w:szCs w:val="24"/>
                <w:lang w:eastAsia="fr-FR"/>
              </w:rPr>
              <w:t xml:space="preserve"> et la spectroscopie </w:t>
            </w:r>
            <w:proofErr w:type="spellStart"/>
            <w:r w:rsidRPr="003B0024">
              <w:rPr>
                <w:rFonts w:eastAsia="Times New Roman" w:cstheme="minorHAnsi"/>
                <w:color w:val="002060"/>
                <w:sz w:val="24"/>
                <w:szCs w:val="24"/>
                <w:lang w:eastAsia="fr-FR"/>
              </w:rPr>
              <w:t>μRaman</w:t>
            </w:r>
            <w:proofErr w:type="spellEnd"/>
            <w:r w:rsidRPr="003B0024">
              <w:rPr>
                <w:rFonts w:eastAsia="Times New Roman" w:cstheme="minorHAnsi"/>
                <w:color w:val="002060"/>
                <w:sz w:val="24"/>
                <w:szCs w:val="24"/>
                <w:lang w:eastAsia="fr-FR"/>
              </w:rPr>
              <w:t>, pour l’étude du transfert de masse à l’échelle des pores sous conditions de mouillabilité contrôlées. La thèse apporte de nouvelles connaissances sur les mécanismes régissant le piégeage du CO2 dans les milieux poreux, essentiels à la conception et à l’optimisation des stratégies de séquestration du carbone.</w:t>
            </w:r>
          </w:p>
        </w:tc>
      </w:tr>
    </w:tbl>
    <w:p w14:paraId="26121D58" w14:textId="2FBF9362" w:rsidR="006818D9" w:rsidRPr="003B0024" w:rsidRDefault="006818D9" w:rsidP="003B0024">
      <w:pPr>
        <w:spacing w:after="0" w:line="240" w:lineRule="auto"/>
        <w:jc w:val="center"/>
        <w:rPr>
          <w:rFonts w:ascii="Gadugi" w:hAnsi="Gadugi"/>
          <w:color w:val="2F5496" w:themeColor="accent5" w:themeShade="BF"/>
          <w:sz w:val="24"/>
          <w:szCs w:val="24"/>
        </w:rPr>
      </w:pPr>
    </w:p>
    <w:sectPr w:rsidR="006818D9" w:rsidRPr="003B0024" w:rsidSect="002E02D3">
      <w:pgSz w:w="11906" w:h="16838"/>
      <w:pgMar w:top="397"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D863" w14:textId="77777777" w:rsidR="007A36A6" w:rsidRDefault="007A36A6" w:rsidP="006E3318">
      <w:pPr>
        <w:spacing w:after="0" w:line="240" w:lineRule="auto"/>
      </w:pPr>
      <w:r>
        <w:separator/>
      </w:r>
    </w:p>
  </w:endnote>
  <w:endnote w:type="continuationSeparator" w:id="0">
    <w:p w14:paraId="74C791EF" w14:textId="77777777" w:rsidR="007A36A6" w:rsidRDefault="007A36A6"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F3842" w14:textId="77777777" w:rsidR="007A36A6" w:rsidRDefault="007A36A6" w:rsidP="006E3318">
      <w:pPr>
        <w:spacing w:after="0" w:line="240" w:lineRule="auto"/>
      </w:pPr>
      <w:r>
        <w:separator/>
      </w:r>
    </w:p>
  </w:footnote>
  <w:footnote w:type="continuationSeparator" w:id="0">
    <w:p w14:paraId="0BF4FFB0" w14:textId="77777777" w:rsidR="007A36A6" w:rsidRDefault="007A36A6"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18"/>
    <w:rsid w:val="00092D5F"/>
    <w:rsid w:val="001A64A5"/>
    <w:rsid w:val="00243719"/>
    <w:rsid w:val="00276C79"/>
    <w:rsid w:val="00280B53"/>
    <w:rsid w:val="00293598"/>
    <w:rsid w:val="002B6449"/>
    <w:rsid w:val="002E02D3"/>
    <w:rsid w:val="002F4B20"/>
    <w:rsid w:val="0031714F"/>
    <w:rsid w:val="00362F03"/>
    <w:rsid w:val="003B0024"/>
    <w:rsid w:val="003B256B"/>
    <w:rsid w:val="004A1AB3"/>
    <w:rsid w:val="006818D9"/>
    <w:rsid w:val="006965D0"/>
    <w:rsid w:val="006E3318"/>
    <w:rsid w:val="007A36A6"/>
    <w:rsid w:val="008240FB"/>
    <w:rsid w:val="00A33447"/>
    <w:rsid w:val="00A72F55"/>
    <w:rsid w:val="00AF4DDF"/>
    <w:rsid w:val="00C15103"/>
    <w:rsid w:val="00DE11DD"/>
    <w:rsid w:val="00DF3A90"/>
    <w:rsid w:val="00E361E8"/>
    <w:rsid w:val="00EB6357"/>
    <w:rsid w:val="00F12409"/>
    <w:rsid w:val="00F80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633C"/>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 w:type="character" w:styleId="Lienhypertexte">
    <w:name w:val="Hyperlink"/>
    <w:basedOn w:val="Policepardfaut"/>
    <w:uiPriority w:val="99"/>
    <w:unhideWhenUsed/>
    <w:rsid w:val="003B0024"/>
    <w:rPr>
      <w:color w:val="0563C1" w:themeColor="hyperlink"/>
      <w:u w:val="single"/>
    </w:rPr>
  </w:style>
  <w:style w:type="character" w:styleId="Mentionnonrsolue">
    <w:name w:val="Unresolved Mention"/>
    <w:basedOn w:val="Policepardfaut"/>
    <w:uiPriority w:val="99"/>
    <w:semiHidden/>
    <w:unhideWhenUsed/>
    <w:rsid w:val="003B0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844496">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206599466">
      <w:bodyDiv w:val="1"/>
      <w:marLeft w:val="0"/>
      <w:marRight w:val="0"/>
      <w:marTop w:val="0"/>
      <w:marBottom w:val="0"/>
      <w:divBdr>
        <w:top w:val="none" w:sz="0" w:space="0" w:color="auto"/>
        <w:left w:val="none" w:sz="0" w:space="0" w:color="auto"/>
        <w:bottom w:val="none" w:sz="0" w:space="0" w:color="auto"/>
        <w:right w:val="none" w:sz="0" w:space="0" w:color="auto"/>
      </w:divBdr>
    </w:div>
    <w:div w:id="1462462212">
      <w:bodyDiv w:val="1"/>
      <w:marLeft w:val="0"/>
      <w:marRight w:val="0"/>
      <w:marTop w:val="0"/>
      <w:marBottom w:val="0"/>
      <w:divBdr>
        <w:top w:val="none" w:sz="0" w:space="0" w:color="auto"/>
        <w:left w:val="none" w:sz="0" w:space="0" w:color="auto"/>
        <w:bottom w:val="none" w:sz="0" w:space="0" w:color="auto"/>
        <w:right w:val="none" w:sz="0" w:space="0" w:color="auto"/>
      </w:divBdr>
    </w:div>
    <w:div w:id="1524633856">
      <w:bodyDiv w:val="1"/>
      <w:marLeft w:val="0"/>
      <w:marRight w:val="0"/>
      <w:marTop w:val="0"/>
      <w:marBottom w:val="0"/>
      <w:divBdr>
        <w:top w:val="none" w:sz="0" w:space="0" w:color="auto"/>
        <w:left w:val="none" w:sz="0" w:space="0" w:color="auto"/>
        <w:bottom w:val="none" w:sz="0" w:space="0" w:color="auto"/>
        <w:right w:val="none" w:sz="0" w:space="0" w:color="auto"/>
      </w:divBdr>
    </w:div>
    <w:div w:id="1649018168">
      <w:bodyDiv w:val="1"/>
      <w:marLeft w:val="0"/>
      <w:marRight w:val="0"/>
      <w:marTop w:val="0"/>
      <w:marBottom w:val="0"/>
      <w:divBdr>
        <w:top w:val="none" w:sz="0" w:space="0" w:color="auto"/>
        <w:left w:val="none" w:sz="0" w:space="0" w:color="auto"/>
        <w:bottom w:val="none" w:sz="0" w:space="0" w:color="auto"/>
        <w:right w:val="none" w:sz="0" w:space="0" w:color="auto"/>
      </w:divBdr>
    </w:div>
    <w:div w:id="1650206118">
      <w:bodyDiv w:val="1"/>
      <w:marLeft w:val="0"/>
      <w:marRight w:val="0"/>
      <w:marTop w:val="0"/>
      <w:marBottom w:val="0"/>
      <w:divBdr>
        <w:top w:val="none" w:sz="0" w:space="0" w:color="auto"/>
        <w:left w:val="none" w:sz="0" w:space="0" w:color="auto"/>
        <w:bottom w:val="none" w:sz="0" w:space="0" w:color="auto"/>
        <w:right w:val="none" w:sz="0" w:space="0" w:color="auto"/>
      </w:divBdr>
    </w:div>
    <w:div w:id="1677657367">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 w:id="20153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rs.zoom.us/j/95814157369?pwd=guTLGuaGBr52Iq3bVNG2nG7OoKnBbD.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3721-D7E6-416F-962F-BF92C35D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4711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2022-11-17T09:25:00Z</cp:lastPrinted>
  <dcterms:created xsi:type="dcterms:W3CDTF">2025-06-20T09:53:00Z</dcterms:created>
  <dcterms:modified xsi:type="dcterms:W3CDTF">2025-06-20T09:53:00Z</dcterms:modified>
</cp:coreProperties>
</file>